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B9F2" w14:textId="1EF685BD" w:rsidR="00FA7F0F" w:rsidRPr="007A1578" w:rsidRDefault="00B70032">
      <w:pPr>
        <w:rPr>
          <w:rFonts w:asciiTheme="majorHAnsi" w:hAnsiTheme="majorHAnsi" w:cstheme="majorHAnsi"/>
          <w:lang w:val="en-GB"/>
        </w:rPr>
      </w:pPr>
      <w:r w:rsidRPr="00600CEE">
        <w:rPr>
          <w:rFonts w:asciiTheme="minorHAnsi" w:hAnsiTheme="minorHAnsi" w:cstheme="minorHAnsi"/>
          <w:lang w:val="en-GB"/>
        </w:rPr>
        <w:t xml:space="preserve"> </w:t>
      </w:r>
    </w:p>
    <w:p w14:paraId="3E9E4F72" w14:textId="4BA24D53" w:rsidR="00676F91" w:rsidRPr="00B04446" w:rsidRDefault="00676F91" w:rsidP="000D0E68">
      <w:pPr>
        <w:spacing w:line="360" w:lineRule="auto"/>
        <w:jc w:val="center"/>
        <w:rPr>
          <w:rFonts w:ascii="Aptos" w:eastAsia="Arial" w:hAnsi="Aptos" w:cstheme="majorHAnsi"/>
          <w:b/>
          <w:sz w:val="28"/>
          <w:lang w:val="en-GB"/>
        </w:rPr>
      </w:pPr>
      <w:r w:rsidRPr="00B04446">
        <w:rPr>
          <w:rFonts w:ascii="Aptos" w:eastAsia="Arial" w:hAnsi="Aptos" w:cstheme="majorHAnsi"/>
          <w:b/>
          <w:sz w:val="28"/>
          <w:lang w:val="en-GB"/>
        </w:rPr>
        <w:t xml:space="preserve">Minutes of the </w:t>
      </w:r>
      <w:r w:rsidR="00D26B1C">
        <w:rPr>
          <w:rFonts w:ascii="Aptos" w:eastAsia="Arial" w:hAnsi="Aptos" w:cstheme="majorHAnsi"/>
          <w:b/>
          <w:sz w:val="28"/>
          <w:lang w:val="en-GB"/>
        </w:rPr>
        <w:t>30</w:t>
      </w:r>
      <w:r w:rsidRPr="00B04446">
        <w:rPr>
          <w:rFonts w:ascii="Aptos" w:eastAsia="Arial" w:hAnsi="Aptos" w:cstheme="majorHAnsi"/>
          <w:b/>
          <w:sz w:val="36"/>
          <w:vertAlign w:val="superscript"/>
          <w:lang w:val="en-GB"/>
        </w:rPr>
        <w:t>th</w:t>
      </w:r>
      <w:r w:rsidRPr="00B04446">
        <w:rPr>
          <w:rFonts w:ascii="Aptos" w:eastAsia="Arial" w:hAnsi="Aptos" w:cstheme="majorHAnsi"/>
          <w:b/>
          <w:sz w:val="28"/>
          <w:lang w:val="en-GB"/>
        </w:rPr>
        <w:t xml:space="preserve"> Steering Group Meeting of PA 2</w:t>
      </w:r>
    </w:p>
    <w:p w14:paraId="61491235" w14:textId="17124AC2" w:rsidR="00676F91" w:rsidRPr="00B04446" w:rsidRDefault="00676F91" w:rsidP="000D0E68">
      <w:pPr>
        <w:spacing w:line="360" w:lineRule="auto"/>
        <w:rPr>
          <w:rFonts w:ascii="Aptos" w:eastAsia="Times New Roman" w:hAnsi="Aptos" w:cstheme="majorHAnsi"/>
          <w:sz w:val="24"/>
          <w:lang w:val="en-GB"/>
        </w:rPr>
      </w:pPr>
      <w:r w:rsidRPr="00B04446">
        <w:rPr>
          <w:rFonts w:ascii="Aptos" w:eastAsia="Arial" w:hAnsi="Aptos" w:cstheme="majorHAnsi"/>
          <w:b/>
          <w:noProof/>
          <w:sz w:val="28"/>
          <w:lang w:val="de-DE" w:eastAsia="de-DE"/>
        </w:rPr>
        <mc:AlternateContent>
          <mc:Choice Requires="wps">
            <w:drawing>
              <wp:anchor distT="0" distB="0" distL="114300" distR="114300" simplePos="0" relativeHeight="251659264" behindDoc="1" locked="0" layoutInCell="1" allowOverlap="1" wp14:anchorId="71A4CF5F" wp14:editId="5AB464D9">
                <wp:simplePos x="0" y="0"/>
                <wp:positionH relativeFrom="column">
                  <wp:posOffset>0</wp:posOffset>
                </wp:positionH>
                <wp:positionV relativeFrom="paragraph">
                  <wp:posOffset>59055</wp:posOffset>
                </wp:positionV>
                <wp:extent cx="5943600" cy="0"/>
                <wp:effectExtent l="19050" t="10160" r="19050" b="18415"/>
                <wp:wrapNone/>
                <wp:docPr id="10" name="Egyenes összekötő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08388B" id="Egyenes összekötő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46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" strokeweight=".54678mm"/>
            </w:pict>
          </mc:Fallback>
        </mc:AlternateContent>
      </w:r>
    </w:p>
    <w:p w14:paraId="12E0E04E" w14:textId="390D9A7E" w:rsidR="00676F91" w:rsidRPr="000D0E68" w:rsidRDefault="00D26B1C" w:rsidP="000D0E68">
      <w:pPr>
        <w:spacing w:line="360" w:lineRule="auto"/>
        <w:jc w:val="center"/>
        <w:rPr>
          <w:rFonts w:ascii="Aptos" w:eastAsia="Arial" w:hAnsi="Aptos" w:cstheme="majorHAnsi"/>
          <w:b/>
          <w:sz w:val="26"/>
          <w:lang w:val="en-GB"/>
        </w:rPr>
      </w:pPr>
      <w:r>
        <w:rPr>
          <w:rFonts w:ascii="Aptos" w:eastAsia="Arial" w:hAnsi="Aptos" w:cstheme="majorHAnsi"/>
          <w:b/>
          <w:sz w:val="26"/>
          <w:lang w:val="en-GB"/>
        </w:rPr>
        <w:t>4</w:t>
      </w:r>
      <w:r w:rsidR="00676F91" w:rsidRPr="00B04446">
        <w:rPr>
          <w:rFonts w:ascii="Aptos" w:eastAsia="Arial" w:hAnsi="Aptos" w:cstheme="majorHAnsi"/>
          <w:b/>
          <w:sz w:val="26"/>
          <w:lang w:val="en-GB"/>
        </w:rPr>
        <w:t>.</w:t>
      </w:r>
      <w:r>
        <w:rPr>
          <w:rFonts w:ascii="Aptos" w:eastAsia="Arial" w:hAnsi="Aptos" w:cstheme="majorHAnsi"/>
          <w:b/>
          <w:sz w:val="26"/>
          <w:lang w:val="en-GB"/>
        </w:rPr>
        <w:t>4</w:t>
      </w:r>
      <w:r w:rsidR="00676F91" w:rsidRPr="00B04446">
        <w:rPr>
          <w:rFonts w:ascii="Aptos" w:eastAsia="Arial" w:hAnsi="Aptos" w:cstheme="majorHAnsi"/>
          <w:b/>
          <w:sz w:val="26"/>
          <w:lang w:val="en-GB"/>
        </w:rPr>
        <w:t>.202</w:t>
      </w:r>
      <w:r w:rsidR="00145738" w:rsidRPr="00B04446">
        <w:rPr>
          <w:rFonts w:ascii="Aptos" w:eastAsia="Arial" w:hAnsi="Aptos" w:cstheme="majorHAnsi"/>
          <w:b/>
          <w:sz w:val="26"/>
          <w:lang w:val="en-GB"/>
        </w:rPr>
        <w:t xml:space="preserve">4 </w:t>
      </w:r>
      <w:r>
        <w:rPr>
          <w:rFonts w:ascii="Aptos" w:eastAsia="Arial" w:hAnsi="Aptos" w:cstheme="majorHAnsi"/>
          <w:b/>
          <w:sz w:val="26"/>
          <w:lang w:val="en-GB"/>
        </w:rPr>
        <w:t>Prague</w:t>
      </w:r>
    </w:p>
    <w:p w14:paraId="5809DEA3" w14:textId="77777777" w:rsidR="00676F91" w:rsidRPr="00B04446" w:rsidRDefault="00676F91" w:rsidP="000D0E68">
      <w:pPr>
        <w:spacing w:line="360" w:lineRule="auto"/>
        <w:rPr>
          <w:rFonts w:ascii="Aptos" w:eastAsia="Times New Roman" w:hAnsi="Aptos" w:cstheme="minorHAnsi"/>
          <w:sz w:val="24"/>
          <w:lang w:val="en-GB"/>
        </w:rPr>
      </w:pPr>
    </w:p>
    <w:p w14:paraId="09B7F00C" w14:textId="485D92B7" w:rsidR="00676F91" w:rsidRPr="009D5BA7" w:rsidRDefault="00676F91" w:rsidP="000D0E68">
      <w:pPr>
        <w:spacing w:line="360" w:lineRule="auto"/>
        <w:rPr>
          <w:rFonts w:ascii="Aptos" w:eastAsia="Arial" w:hAnsi="Aptos" w:cstheme="majorHAnsi"/>
          <w:b/>
          <w:sz w:val="24"/>
          <w:szCs w:val="24"/>
          <w:u w:val="single"/>
          <w:lang w:val="en-GB"/>
        </w:rPr>
      </w:pPr>
      <w:r w:rsidRPr="00B04446">
        <w:rPr>
          <w:rFonts w:ascii="Aptos" w:eastAsia="Arial" w:hAnsi="Aptos" w:cstheme="majorHAnsi"/>
          <w:b/>
          <w:sz w:val="24"/>
          <w:szCs w:val="24"/>
          <w:u w:val="single"/>
          <w:lang w:val="en-GB"/>
        </w:rPr>
        <w:t xml:space="preserve">PARTICIPANTS </w:t>
      </w:r>
      <w:r w:rsidR="00C6602B" w:rsidRPr="00B04446">
        <w:rPr>
          <w:rFonts w:ascii="Aptos" w:eastAsia="Arial" w:hAnsi="Aptos" w:cstheme="majorHAnsi"/>
          <w:b/>
          <w:sz w:val="24"/>
          <w:szCs w:val="24"/>
          <w:u w:val="single"/>
          <w:lang w:val="en-GB"/>
        </w:rPr>
        <w:t xml:space="preserve">IN PERSON – </w:t>
      </w:r>
      <w:r w:rsidRPr="00B04446">
        <w:rPr>
          <w:rFonts w:ascii="Aptos" w:eastAsia="Arial" w:hAnsi="Aptos" w:cstheme="majorHAnsi"/>
          <w:b/>
          <w:sz w:val="24"/>
          <w:szCs w:val="24"/>
          <w:u w:val="single"/>
          <w:lang w:val="en-GB"/>
        </w:rPr>
        <w:t>SG members</w:t>
      </w:r>
      <w:r w:rsidR="000E41F7" w:rsidRPr="00B04446">
        <w:rPr>
          <w:rFonts w:ascii="Aptos" w:eastAsia="Arial" w:hAnsi="Aptos" w:cstheme="majorHAnsi"/>
          <w:b/>
          <w:sz w:val="24"/>
          <w:szCs w:val="24"/>
          <w:u w:val="single"/>
          <w:lang w:val="en-GB"/>
        </w:rPr>
        <w:t xml:space="preserve"> and core stakeholders</w:t>
      </w:r>
      <w:r w:rsidRPr="00B04446">
        <w:rPr>
          <w:rFonts w:ascii="Aptos" w:eastAsia="Arial" w:hAnsi="Aptos" w:cstheme="majorHAnsi"/>
          <w:b/>
          <w:sz w:val="24"/>
          <w:szCs w:val="24"/>
          <w:u w:val="single"/>
          <w:lang w:val="en-GB"/>
        </w:rPr>
        <w:t>:</w:t>
      </w:r>
    </w:p>
    <w:p w14:paraId="54E8D38F" w14:textId="441232B4" w:rsidR="002E185D" w:rsidRDefault="002E185D" w:rsidP="000D0E68">
      <w:pPr>
        <w:spacing w:line="360" w:lineRule="auto"/>
        <w:rPr>
          <w:rFonts w:ascii="Aptos" w:eastAsia="Arial" w:hAnsi="Aptos" w:cstheme="majorHAnsi"/>
          <w:sz w:val="24"/>
          <w:szCs w:val="24"/>
          <w:lang w:val="en-GB"/>
        </w:rPr>
      </w:pPr>
      <w:r>
        <w:rPr>
          <w:rFonts w:ascii="Aptos" w:eastAsia="Arial" w:hAnsi="Aptos" w:cstheme="majorHAnsi"/>
          <w:sz w:val="24"/>
          <w:szCs w:val="24"/>
          <w:lang w:val="en-GB"/>
        </w:rPr>
        <w:t>Irina Apostol (DYC)</w:t>
      </w:r>
    </w:p>
    <w:p w14:paraId="0F31477E" w14:textId="6F2C48F3" w:rsidR="002E185D" w:rsidRDefault="002E185D" w:rsidP="000D0E68">
      <w:pPr>
        <w:spacing w:line="360" w:lineRule="auto"/>
        <w:rPr>
          <w:rFonts w:ascii="Aptos" w:eastAsia="Times New Roman" w:hAnsi="Aptos" w:cstheme="majorHAnsi"/>
          <w:sz w:val="24"/>
          <w:szCs w:val="24"/>
          <w:lang w:val="en-GB"/>
        </w:rPr>
      </w:pPr>
      <w:r w:rsidRPr="00B04446">
        <w:rPr>
          <w:rFonts w:ascii="Aptos" w:eastAsia="Times New Roman" w:hAnsi="Aptos" w:cstheme="majorHAnsi"/>
          <w:sz w:val="24"/>
          <w:szCs w:val="24"/>
          <w:lang w:val="en-GB"/>
        </w:rPr>
        <w:t>Ágnes Barber (HU)</w:t>
      </w:r>
    </w:p>
    <w:p w14:paraId="00433DE8" w14:textId="6A7A3396" w:rsidR="002E185D"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Lucia Bogdányová (SK)</w:t>
      </w:r>
    </w:p>
    <w:p w14:paraId="4D532D52" w14:textId="77777777" w:rsidR="002E185D" w:rsidRDefault="002E185D" w:rsidP="002E185D">
      <w:pPr>
        <w:spacing w:line="360" w:lineRule="auto"/>
        <w:rPr>
          <w:rFonts w:ascii="Aptos" w:eastAsia="Arial" w:hAnsi="Aptos" w:cstheme="majorHAnsi"/>
          <w:sz w:val="24"/>
          <w:szCs w:val="24"/>
          <w:lang w:val="en-GB"/>
        </w:rPr>
      </w:pPr>
      <w:r w:rsidRPr="00B04446">
        <w:rPr>
          <w:rFonts w:ascii="Aptos" w:eastAsia="Arial" w:hAnsi="Aptos" w:cstheme="majorHAnsi"/>
          <w:sz w:val="24"/>
          <w:szCs w:val="24"/>
          <w:lang w:val="en-GB"/>
        </w:rPr>
        <w:t>Vít Fencl (CZ)</w:t>
      </w:r>
    </w:p>
    <w:p w14:paraId="0674E3C8" w14:textId="609E9636" w:rsidR="002E185D"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Michael Heyna (DE-BY)</w:t>
      </w:r>
    </w:p>
    <w:p w14:paraId="62D17DB3" w14:textId="766D6091" w:rsidR="002E185D"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Nicole Hauder (DSP)</w:t>
      </w:r>
    </w:p>
    <w:p w14:paraId="7796392C" w14:textId="77B89CB1" w:rsidR="002E185D"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Botond Kövessi (RO)</w:t>
      </w:r>
    </w:p>
    <w:p w14:paraId="00E9C3B2" w14:textId="2305289B" w:rsidR="002E185D" w:rsidRDefault="002E185D" w:rsidP="000D0E68">
      <w:pPr>
        <w:spacing w:line="360" w:lineRule="auto"/>
        <w:rPr>
          <w:rFonts w:ascii="Aptos" w:eastAsia="Times New Roman" w:hAnsi="Aptos" w:cstheme="majorHAnsi"/>
          <w:sz w:val="24"/>
          <w:szCs w:val="24"/>
          <w:lang w:val="en-GB"/>
        </w:rPr>
      </w:pPr>
      <w:r w:rsidRPr="00B04446">
        <w:rPr>
          <w:rFonts w:ascii="Aptos" w:eastAsia="Times New Roman" w:hAnsi="Aptos" w:cstheme="majorHAnsi"/>
          <w:sz w:val="24"/>
          <w:szCs w:val="24"/>
          <w:lang w:val="en-GB"/>
        </w:rPr>
        <w:t>Johan Magnusson (DG Regio)</w:t>
      </w:r>
    </w:p>
    <w:p w14:paraId="531533B0" w14:textId="1F0FDD8C" w:rsidR="002E185D"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Andrea Mišová (CZ)</w:t>
      </w:r>
    </w:p>
    <w:p w14:paraId="5B140134" w14:textId="77777777" w:rsidR="002E185D" w:rsidRPr="00B04446" w:rsidRDefault="002E185D" w:rsidP="002E185D">
      <w:pPr>
        <w:spacing w:line="360" w:lineRule="auto"/>
        <w:rPr>
          <w:rFonts w:ascii="Aptos" w:eastAsia="Times New Roman" w:hAnsi="Aptos" w:cstheme="majorHAnsi"/>
          <w:sz w:val="24"/>
          <w:szCs w:val="24"/>
          <w:lang w:val="en-GB"/>
        </w:rPr>
      </w:pPr>
      <w:r w:rsidRPr="00B04446">
        <w:rPr>
          <w:rFonts w:ascii="Aptos" w:eastAsia="Times New Roman" w:hAnsi="Aptos" w:cstheme="majorHAnsi"/>
          <w:sz w:val="24"/>
          <w:szCs w:val="24"/>
          <w:lang w:val="en-GB"/>
        </w:rPr>
        <w:t>Annamária Nádor (HU)</w:t>
      </w:r>
    </w:p>
    <w:p w14:paraId="039EB287" w14:textId="77777777" w:rsidR="002E185D" w:rsidRPr="00B04446" w:rsidRDefault="002E185D" w:rsidP="002E185D">
      <w:pPr>
        <w:spacing w:line="360" w:lineRule="auto"/>
        <w:rPr>
          <w:rFonts w:ascii="Aptos" w:eastAsia="Times New Roman" w:hAnsi="Aptos" w:cstheme="majorHAnsi"/>
          <w:sz w:val="24"/>
          <w:szCs w:val="24"/>
          <w:lang w:val="en-GB"/>
        </w:rPr>
      </w:pPr>
      <w:r w:rsidRPr="00B04446">
        <w:rPr>
          <w:rFonts w:ascii="Aptos" w:eastAsia="Arial" w:hAnsi="Aptos" w:cstheme="majorHAnsi"/>
          <w:sz w:val="24"/>
          <w:szCs w:val="24"/>
          <w:lang w:val="en-GB"/>
        </w:rPr>
        <w:t>Tomáš Vondra (CZ)</w:t>
      </w:r>
    </w:p>
    <w:p w14:paraId="30AC3FB0" w14:textId="60041A43" w:rsidR="002E185D" w:rsidRPr="002E185D" w:rsidRDefault="002E185D" w:rsidP="000D0E68">
      <w:pPr>
        <w:spacing w:line="360" w:lineRule="auto"/>
        <w:rPr>
          <w:rFonts w:ascii="Aptos" w:eastAsia="Times New Roman" w:hAnsi="Aptos" w:cstheme="majorHAnsi"/>
          <w:sz w:val="24"/>
          <w:szCs w:val="24"/>
          <w:lang w:val="en-GB"/>
        </w:rPr>
      </w:pPr>
      <w:r w:rsidRPr="00B04446">
        <w:rPr>
          <w:rFonts w:ascii="Aptos" w:eastAsia="Times New Roman" w:hAnsi="Aptos" w:cstheme="majorHAnsi"/>
          <w:sz w:val="24"/>
          <w:szCs w:val="24"/>
          <w:lang w:val="en-GB"/>
        </w:rPr>
        <w:t>Zsuzsa Bálintné Vörös (HU)</w:t>
      </w:r>
    </w:p>
    <w:p w14:paraId="28780F5B" w14:textId="77777777" w:rsidR="002E185D" w:rsidRPr="00B04446" w:rsidRDefault="002E185D" w:rsidP="000D0E68">
      <w:pPr>
        <w:spacing w:line="360" w:lineRule="auto"/>
        <w:rPr>
          <w:rFonts w:ascii="Aptos" w:eastAsia="Times New Roman" w:hAnsi="Aptos" w:cstheme="majorHAnsi"/>
          <w:sz w:val="24"/>
          <w:szCs w:val="24"/>
          <w:lang w:val="en-GB"/>
        </w:rPr>
      </w:pPr>
    </w:p>
    <w:p w14:paraId="23656803" w14:textId="01F2FDCC" w:rsidR="00C6602B" w:rsidRPr="0066500F" w:rsidRDefault="00C6602B" w:rsidP="000D0E68">
      <w:pPr>
        <w:spacing w:line="360" w:lineRule="auto"/>
        <w:rPr>
          <w:rFonts w:ascii="Aptos" w:eastAsia="Arial" w:hAnsi="Aptos" w:cstheme="majorHAnsi"/>
          <w:b/>
          <w:sz w:val="24"/>
          <w:szCs w:val="24"/>
          <w:u w:val="single"/>
          <w:lang w:val="en-GB"/>
        </w:rPr>
      </w:pPr>
      <w:r w:rsidRPr="0066500F">
        <w:rPr>
          <w:rFonts w:ascii="Aptos" w:eastAsia="Arial" w:hAnsi="Aptos" w:cstheme="majorHAnsi"/>
          <w:b/>
          <w:sz w:val="24"/>
          <w:szCs w:val="24"/>
          <w:u w:val="single"/>
          <w:lang w:val="en-GB"/>
        </w:rPr>
        <w:t>ONLINE PARTICIPANTS – SG members:</w:t>
      </w:r>
    </w:p>
    <w:p w14:paraId="6541A9BA" w14:textId="22C3C45E" w:rsidR="002E185D" w:rsidRPr="0066500F" w:rsidRDefault="002E185D" w:rsidP="002E185D">
      <w:pPr>
        <w:spacing w:line="360" w:lineRule="auto"/>
        <w:rPr>
          <w:rFonts w:ascii="Aptos" w:eastAsia="Arial" w:hAnsi="Aptos" w:cstheme="majorHAnsi"/>
          <w:sz w:val="24"/>
          <w:szCs w:val="24"/>
          <w:lang w:val="en-GB"/>
        </w:rPr>
      </w:pPr>
      <w:r w:rsidRPr="0066500F">
        <w:rPr>
          <w:rFonts w:ascii="Aptos" w:eastAsia="Arial" w:hAnsi="Aptos" w:cstheme="majorHAnsi"/>
          <w:sz w:val="24"/>
          <w:szCs w:val="24"/>
          <w:lang w:val="en-GB"/>
        </w:rPr>
        <w:t>Marko Cerar (SI)</w:t>
      </w:r>
    </w:p>
    <w:p w14:paraId="77E9A716" w14:textId="17D6AFA4" w:rsidR="00E333FB" w:rsidRPr="00E333FB" w:rsidRDefault="00E333FB" w:rsidP="000D0E68">
      <w:pPr>
        <w:spacing w:line="360" w:lineRule="auto"/>
        <w:rPr>
          <w:rFonts w:ascii="Aptos" w:eastAsia="Arial" w:hAnsi="Aptos" w:cstheme="majorHAnsi"/>
          <w:sz w:val="24"/>
          <w:szCs w:val="24"/>
          <w:lang w:val="en-GB"/>
        </w:rPr>
      </w:pPr>
      <w:r w:rsidRPr="00B04446">
        <w:rPr>
          <w:rFonts w:ascii="Aptos" w:eastAsia="Arial" w:hAnsi="Aptos" w:cstheme="majorHAnsi"/>
          <w:sz w:val="24"/>
          <w:szCs w:val="24"/>
          <w:lang w:val="en-GB"/>
        </w:rPr>
        <w:t>Boris Martinez (CRO)</w:t>
      </w:r>
    </w:p>
    <w:p w14:paraId="6C16E5DA" w14:textId="45E26E1A" w:rsidR="00AD3D4B" w:rsidRDefault="002E185D" w:rsidP="000D0E68">
      <w:pPr>
        <w:spacing w:line="360" w:lineRule="auto"/>
        <w:rPr>
          <w:rFonts w:ascii="Aptos" w:eastAsia="Times New Roman" w:hAnsi="Aptos" w:cstheme="majorHAnsi"/>
          <w:sz w:val="24"/>
          <w:szCs w:val="24"/>
          <w:lang w:val="en-GB"/>
        </w:rPr>
      </w:pPr>
      <w:r>
        <w:rPr>
          <w:rFonts w:ascii="Aptos" w:eastAsia="Times New Roman" w:hAnsi="Aptos" w:cstheme="majorHAnsi"/>
          <w:sz w:val="24"/>
          <w:szCs w:val="24"/>
          <w:lang w:val="en-GB"/>
        </w:rPr>
        <w:t>Katharina Pepper (AT)</w:t>
      </w:r>
    </w:p>
    <w:p w14:paraId="08AF408D" w14:textId="419FFBC1" w:rsidR="00F0487A" w:rsidRDefault="00F0487A">
      <w:pPr>
        <w:spacing w:after="160" w:line="259" w:lineRule="auto"/>
        <w:rPr>
          <w:rFonts w:ascii="Aptos" w:eastAsia="Times New Roman" w:hAnsi="Aptos" w:cstheme="majorHAnsi"/>
          <w:sz w:val="24"/>
          <w:szCs w:val="24"/>
          <w:lang w:val="en-GB"/>
        </w:rPr>
      </w:pPr>
      <w:r>
        <w:rPr>
          <w:rFonts w:ascii="Aptos" w:eastAsia="Times New Roman" w:hAnsi="Aptos" w:cstheme="majorHAnsi"/>
          <w:sz w:val="24"/>
          <w:szCs w:val="24"/>
          <w:lang w:val="en-GB"/>
        </w:rPr>
        <w:br w:type="page"/>
      </w:r>
    </w:p>
    <w:p w14:paraId="14E05377" w14:textId="018C43C1" w:rsidR="002E185D" w:rsidRDefault="00676F91" w:rsidP="000D0E68">
      <w:pPr>
        <w:spacing w:line="360" w:lineRule="auto"/>
        <w:rPr>
          <w:rFonts w:ascii="Aptos" w:eastAsia="Arial" w:hAnsi="Aptos" w:cstheme="majorHAnsi"/>
          <w:b/>
          <w:sz w:val="24"/>
          <w:szCs w:val="24"/>
          <w:u w:val="single"/>
          <w:lang w:val="en-GB"/>
        </w:rPr>
      </w:pPr>
      <w:r w:rsidRPr="00B04446">
        <w:rPr>
          <w:rFonts w:ascii="Aptos" w:eastAsia="Arial" w:hAnsi="Aptos" w:cstheme="majorHAnsi"/>
          <w:b/>
          <w:sz w:val="24"/>
          <w:szCs w:val="24"/>
          <w:u w:val="single"/>
          <w:lang w:val="en-GB"/>
        </w:rPr>
        <w:lastRenderedPageBreak/>
        <w:t>Speakers</w:t>
      </w:r>
      <w:r w:rsidR="00224439">
        <w:rPr>
          <w:rFonts w:ascii="Aptos" w:eastAsia="Arial" w:hAnsi="Aptos" w:cstheme="majorHAnsi"/>
          <w:b/>
          <w:sz w:val="24"/>
          <w:szCs w:val="24"/>
          <w:u w:val="single"/>
          <w:lang w:val="en-GB"/>
        </w:rPr>
        <w:t xml:space="preserve"> and guests</w:t>
      </w:r>
      <w:r w:rsidR="002E185D">
        <w:rPr>
          <w:rFonts w:ascii="Aptos" w:eastAsia="Arial" w:hAnsi="Aptos" w:cstheme="majorHAnsi"/>
          <w:b/>
          <w:sz w:val="24"/>
          <w:szCs w:val="24"/>
          <w:u w:val="single"/>
          <w:lang w:val="en-GB"/>
        </w:rPr>
        <w:t>:</w:t>
      </w:r>
    </w:p>
    <w:p w14:paraId="48AF4F33" w14:textId="77777777" w:rsidR="00224439" w:rsidRDefault="00224439" w:rsidP="00224439">
      <w:pPr>
        <w:spacing w:line="360" w:lineRule="auto"/>
        <w:rPr>
          <w:rFonts w:ascii="Aptos" w:eastAsia="Arial" w:hAnsi="Aptos" w:cstheme="majorHAnsi"/>
          <w:sz w:val="24"/>
          <w:szCs w:val="24"/>
          <w:lang w:val="en-GB"/>
        </w:rPr>
      </w:pPr>
      <w:r>
        <w:rPr>
          <w:rFonts w:ascii="Aptos" w:eastAsia="Arial" w:hAnsi="Aptos" w:cstheme="majorHAnsi"/>
          <w:sz w:val="24"/>
          <w:szCs w:val="24"/>
          <w:lang w:val="en-GB"/>
        </w:rPr>
        <w:t>Nathalie Marková (CZ)</w:t>
      </w:r>
    </w:p>
    <w:p w14:paraId="087E2036" w14:textId="491580CA" w:rsidR="00224439" w:rsidRDefault="00224439" w:rsidP="00224439">
      <w:pPr>
        <w:spacing w:line="360" w:lineRule="auto"/>
        <w:rPr>
          <w:rFonts w:ascii="Aptos" w:eastAsia="Arial" w:hAnsi="Aptos" w:cstheme="majorHAnsi"/>
          <w:sz w:val="24"/>
          <w:szCs w:val="24"/>
          <w:lang w:val="en-GB"/>
        </w:rPr>
      </w:pPr>
      <w:r>
        <w:rPr>
          <w:rFonts w:ascii="Aptos" w:eastAsia="Arial" w:hAnsi="Aptos" w:cstheme="majorHAnsi"/>
          <w:sz w:val="24"/>
          <w:szCs w:val="24"/>
          <w:lang w:val="en-GB"/>
        </w:rPr>
        <w:t>Agáta Paličková (CZ)</w:t>
      </w:r>
    </w:p>
    <w:p w14:paraId="69A6726F" w14:textId="77777777" w:rsidR="00224439" w:rsidRDefault="00224439" w:rsidP="00224439">
      <w:pPr>
        <w:spacing w:line="360" w:lineRule="auto"/>
        <w:rPr>
          <w:rFonts w:ascii="Aptos" w:eastAsia="Arial" w:hAnsi="Aptos" w:cstheme="majorHAnsi"/>
          <w:sz w:val="24"/>
          <w:szCs w:val="24"/>
          <w:lang w:val="en-GB"/>
        </w:rPr>
      </w:pPr>
      <w:r>
        <w:rPr>
          <w:rFonts w:ascii="Aptos" w:eastAsia="Arial" w:hAnsi="Aptos" w:cstheme="majorHAnsi"/>
          <w:sz w:val="24"/>
          <w:szCs w:val="24"/>
          <w:lang w:val="en-GB"/>
        </w:rPr>
        <w:t>Jan Jančík (CZ)</w:t>
      </w:r>
    </w:p>
    <w:p w14:paraId="69FDCD06" w14:textId="3C6BE401" w:rsidR="00224439" w:rsidRPr="00224439" w:rsidRDefault="00224439" w:rsidP="000D0E68">
      <w:pPr>
        <w:spacing w:line="360" w:lineRule="auto"/>
        <w:rPr>
          <w:rFonts w:ascii="Aptos" w:eastAsia="Arial" w:hAnsi="Aptos" w:cstheme="majorHAnsi"/>
          <w:sz w:val="24"/>
          <w:szCs w:val="24"/>
          <w:lang w:val="en-GB"/>
        </w:rPr>
      </w:pPr>
      <w:r>
        <w:rPr>
          <w:rFonts w:ascii="Aptos" w:eastAsia="Arial" w:hAnsi="Aptos" w:cstheme="majorHAnsi"/>
          <w:sz w:val="24"/>
          <w:szCs w:val="24"/>
          <w:lang w:val="en-GB"/>
        </w:rPr>
        <w:t>Lenka Tomanová (CZ)</w:t>
      </w:r>
    </w:p>
    <w:p w14:paraId="13529138" w14:textId="0CDC4D3A" w:rsidR="002E185D" w:rsidRDefault="002E185D" w:rsidP="000D0E68">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Adam Červenka (DEX IC)</w:t>
      </w:r>
    </w:p>
    <w:p w14:paraId="2D821F7E" w14:textId="677231A2" w:rsidR="002E185D" w:rsidRDefault="002E185D" w:rsidP="000D0E68">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Petr Kopřiva (DEX IC)</w:t>
      </w:r>
    </w:p>
    <w:p w14:paraId="081ED85C" w14:textId="37E3505A" w:rsidR="002E185D" w:rsidRDefault="002E185D" w:rsidP="000D0E68">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Petra Jalšovec Palacz (DEX IC)</w:t>
      </w:r>
    </w:p>
    <w:p w14:paraId="57CFE600" w14:textId="5D32E535" w:rsidR="002E185D" w:rsidRDefault="002E185D" w:rsidP="000D0E68">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Márton Sipos (KPMG Hungary)</w:t>
      </w:r>
    </w:p>
    <w:p w14:paraId="20CF16FC" w14:textId="538AE18C" w:rsidR="002E185D" w:rsidRDefault="002E185D" w:rsidP="002E185D">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Irene Bittner (</w:t>
      </w:r>
      <w:r w:rsidR="00AD3D4B">
        <w:rPr>
          <w:rFonts w:ascii="Aptos" w:eastAsia="Arial" w:hAnsi="Aptos" w:cstheme="majorHAnsi"/>
          <w:bCs/>
          <w:sz w:val="24"/>
          <w:szCs w:val="24"/>
          <w:lang w:val="en-GB"/>
        </w:rPr>
        <w:t xml:space="preserve">Online - </w:t>
      </w:r>
      <w:r w:rsidRPr="002E185D">
        <w:rPr>
          <w:rFonts w:ascii="Aptos" w:eastAsia="Arial" w:hAnsi="Aptos" w:cstheme="majorHAnsi"/>
          <w:bCs/>
          <w:sz w:val="24"/>
          <w:szCs w:val="24"/>
          <w:lang w:val="en-GB"/>
        </w:rPr>
        <w:t>Austrian Energy Agency</w:t>
      </w:r>
      <w:r>
        <w:rPr>
          <w:rFonts w:ascii="Aptos" w:eastAsia="Arial" w:hAnsi="Aptos" w:cstheme="majorHAnsi"/>
          <w:bCs/>
          <w:sz w:val="24"/>
          <w:szCs w:val="24"/>
          <w:lang w:val="en-GB"/>
        </w:rPr>
        <w:t>)</w:t>
      </w:r>
    </w:p>
    <w:p w14:paraId="05FC3310" w14:textId="38ACAD8E" w:rsidR="00DC7766" w:rsidRDefault="002E185D" w:rsidP="00DC7766">
      <w:pPr>
        <w:spacing w:line="360" w:lineRule="auto"/>
        <w:rPr>
          <w:rFonts w:ascii="Aptos" w:eastAsia="Arial" w:hAnsi="Aptos" w:cstheme="majorHAnsi"/>
          <w:bCs/>
          <w:sz w:val="24"/>
          <w:szCs w:val="24"/>
          <w:lang w:val="en-GB"/>
        </w:rPr>
      </w:pPr>
      <w:r>
        <w:rPr>
          <w:rFonts w:ascii="Aptos" w:eastAsia="Arial" w:hAnsi="Aptos" w:cstheme="majorHAnsi"/>
          <w:bCs/>
          <w:sz w:val="24"/>
          <w:szCs w:val="24"/>
          <w:lang w:val="en-GB"/>
        </w:rPr>
        <w:t>Melinda Tóth (</w:t>
      </w:r>
      <w:r w:rsidR="00AD3D4B">
        <w:rPr>
          <w:rFonts w:ascii="Aptos" w:eastAsia="Arial" w:hAnsi="Aptos" w:cstheme="majorHAnsi"/>
          <w:bCs/>
          <w:sz w:val="24"/>
          <w:szCs w:val="24"/>
          <w:lang w:val="en-GB"/>
        </w:rPr>
        <w:t xml:space="preserve">Online - </w:t>
      </w:r>
      <w:r w:rsidR="00DC7766" w:rsidRPr="00DC7766">
        <w:rPr>
          <w:rFonts w:ascii="Aptos" w:eastAsia="Arial" w:hAnsi="Aptos" w:cstheme="majorHAnsi"/>
          <w:bCs/>
          <w:sz w:val="24"/>
          <w:szCs w:val="24"/>
          <w:lang w:val="en-GB"/>
        </w:rPr>
        <w:t>South Transdanubian Regional</w:t>
      </w:r>
      <w:r w:rsidR="00DC7766">
        <w:rPr>
          <w:rFonts w:ascii="Aptos" w:eastAsia="Arial" w:hAnsi="Aptos" w:cstheme="majorHAnsi"/>
          <w:bCs/>
          <w:sz w:val="24"/>
          <w:szCs w:val="24"/>
          <w:lang w:val="en-GB"/>
        </w:rPr>
        <w:t xml:space="preserve"> </w:t>
      </w:r>
      <w:r w:rsidR="00DC7766" w:rsidRPr="00DC7766">
        <w:rPr>
          <w:rFonts w:ascii="Aptos" w:eastAsia="Arial" w:hAnsi="Aptos" w:cstheme="majorHAnsi"/>
          <w:bCs/>
          <w:sz w:val="24"/>
          <w:szCs w:val="24"/>
          <w:lang w:val="en-GB"/>
        </w:rPr>
        <w:t>Innovation Agency</w:t>
      </w:r>
      <w:r w:rsidR="00DC7766">
        <w:rPr>
          <w:rFonts w:ascii="Aptos" w:eastAsia="Arial" w:hAnsi="Aptos" w:cstheme="majorHAnsi"/>
          <w:bCs/>
          <w:sz w:val="24"/>
          <w:szCs w:val="24"/>
          <w:lang w:val="en-GB"/>
        </w:rPr>
        <w:t>)</w:t>
      </w:r>
    </w:p>
    <w:p w14:paraId="6097A3B6" w14:textId="60FDCB1D" w:rsidR="002E185D" w:rsidRPr="0066500F" w:rsidRDefault="002E185D" w:rsidP="002E185D">
      <w:pPr>
        <w:spacing w:line="360" w:lineRule="auto"/>
        <w:rPr>
          <w:rFonts w:ascii="Aptos" w:eastAsia="Arial" w:hAnsi="Aptos" w:cstheme="majorHAnsi"/>
          <w:bCs/>
          <w:sz w:val="24"/>
          <w:szCs w:val="24"/>
          <w:lang w:val="en-GB"/>
        </w:rPr>
      </w:pPr>
      <w:r w:rsidRPr="0066500F">
        <w:rPr>
          <w:rFonts w:ascii="Aptos" w:eastAsia="Arial" w:hAnsi="Aptos" w:cstheme="majorHAnsi"/>
          <w:bCs/>
          <w:sz w:val="24"/>
          <w:szCs w:val="24"/>
          <w:lang w:val="en-GB"/>
        </w:rPr>
        <w:t>Jitka Vrtalová (</w:t>
      </w:r>
      <w:r w:rsidR="00AD3D4B" w:rsidRPr="0066500F">
        <w:rPr>
          <w:rFonts w:ascii="Aptos" w:eastAsia="Arial" w:hAnsi="Aptos" w:cstheme="majorHAnsi"/>
          <w:bCs/>
          <w:sz w:val="24"/>
          <w:szCs w:val="24"/>
          <w:lang w:val="en-GB"/>
        </w:rPr>
        <w:t xml:space="preserve">Online - </w:t>
      </w:r>
      <w:proofErr w:type="spellStart"/>
      <w:r w:rsidRPr="0066500F">
        <w:rPr>
          <w:rFonts w:ascii="Aptos" w:eastAsia="Arial" w:hAnsi="Aptos" w:cstheme="majorHAnsi"/>
          <w:bCs/>
          <w:sz w:val="24"/>
          <w:szCs w:val="24"/>
          <w:lang w:val="en-GB"/>
        </w:rPr>
        <w:t>Partnerství</w:t>
      </w:r>
      <w:proofErr w:type="spellEnd"/>
      <w:r w:rsidRPr="0066500F">
        <w:rPr>
          <w:rFonts w:ascii="Aptos" w:eastAsia="Arial" w:hAnsi="Aptos" w:cstheme="majorHAnsi"/>
          <w:bCs/>
          <w:sz w:val="24"/>
          <w:szCs w:val="24"/>
          <w:lang w:val="en-GB"/>
        </w:rPr>
        <w:t xml:space="preserve"> pro </w:t>
      </w:r>
      <w:proofErr w:type="spellStart"/>
      <w:r w:rsidRPr="0066500F">
        <w:rPr>
          <w:rFonts w:ascii="Aptos" w:eastAsia="Arial" w:hAnsi="Aptos" w:cstheme="majorHAnsi"/>
          <w:bCs/>
          <w:sz w:val="24"/>
          <w:szCs w:val="24"/>
          <w:lang w:val="en-GB"/>
        </w:rPr>
        <w:t>městskou</w:t>
      </w:r>
      <w:proofErr w:type="spellEnd"/>
      <w:r w:rsidRPr="0066500F">
        <w:rPr>
          <w:rFonts w:ascii="Aptos" w:eastAsia="Arial" w:hAnsi="Aptos" w:cstheme="majorHAnsi"/>
          <w:bCs/>
          <w:sz w:val="24"/>
          <w:szCs w:val="24"/>
          <w:lang w:val="en-GB"/>
        </w:rPr>
        <w:t xml:space="preserve"> </w:t>
      </w:r>
      <w:proofErr w:type="spellStart"/>
      <w:r w:rsidRPr="0066500F">
        <w:rPr>
          <w:rFonts w:ascii="Aptos" w:eastAsia="Arial" w:hAnsi="Aptos" w:cstheme="majorHAnsi"/>
          <w:bCs/>
          <w:sz w:val="24"/>
          <w:szCs w:val="24"/>
          <w:lang w:val="en-GB"/>
        </w:rPr>
        <w:t>mobilitu</w:t>
      </w:r>
      <w:proofErr w:type="spellEnd"/>
      <w:r w:rsidRPr="0066500F">
        <w:rPr>
          <w:rFonts w:ascii="Aptos" w:eastAsia="Arial" w:hAnsi="Aptos" w:cstheme="majorHAnsi"/>
          <w:bCs/>
          <w:sz w:val="24"/>
          <w:szCs w:val="24"/>
          <w:lang w:val="en-GB"/>
        </w:rPr>
        <w:t>)</w:t>
      </w:r>
    </w:p>
    <w:p w14:paraId="5DA868F3" w14:textId="77777777" w:rsidR="002E185D" w:rsidRPr="0066500F" w:rsidRDefault="002E185D" w:rsidP="000D0E68">
      <w:pPr>
        <w:spacing w:line="360" w:lineRule="auto"/>
        <w:rPr>
          <w:rFonts w:ascii="Aptos" w:eastAsia="Arial" w:hAnsi="Aptos" w:cstheme="majorHAnsi"/>
          <w:bCs/>
          <w:sz w:val="24"/>
          <w:szCs w:val="24"/>
          <w:lang w:val="en-GB"/>
        </w:rPr>
      </w:pPr>
    </w:p>
    <w:p w14:paraId="4C7642E6" w14:textId="77777777" w:rsidR="000D0E68" w:rsidRPr="0066500F" w:rsidRDefault="000D0E68">
      <w:pPr>
        <w:spacing w:after="160" w:line="259" w:lineRule="auto"/>
        <w:rPr>
          <w:rFonts w:ascii="Aptos" w:eastAsia="Arial" w:hAnsi="Aptos" w:cstheme="majorHAnsi"/>
          <w:sz w:val="24"/>
          <w:szCs w:val="24"/>
          <w:lang w:val="en-GB"/>
        </w:rPr>
      </w:pPr>
      <w:r w:rsidRPr="0066500F">
        <w:rPr>
          <w:rFonts w:ascii="Aptos" w:eastAsia="Arial" w:hAnsi="Aptos" w:cstheme="majorHAnsi"/>
          <w:sz w:val="24"/>
          <w:szCs w:val="24"/>
          <w:lang w:val="en-GB"/>
        </w:rPr>
        <w:br w:type="page"/>
      </w:r>
    </w:p>
    <w:p w14:paraId="1AE4FCE6" w14:textId="77777777" w:rsidR="00676F91" w:rsidRPr="0066500F" w:rsidRDefault="00676F91" w:rsidP="000D0E68">
      <w:pPr>
        <w:spacing w:line="360" w:lineRule="auto"/>
        <w:rPr>
          <w:rFonts w:ascii="Aptos" w:hAnsi="Aptos" w:cstheme="majorHAnsi"/>
          <w:sz w:val="24"/>
          <w:szCs w:val="24"/>
          <w:lang w:val="en-GB"/>
        </w:rPr>
      </w:pPr>
    </w:p>
    <w:p w14:paraId="25A50EC2" w14:textId="5C96BB58" w:rsidR="00676F91" w:rsidRPr="00D24C6B" w:rsidRDefault="00676F91" w:rsidP="000D0E68">
      <w:pPr>
        <w:pStyle w:val="Odstavecseseznamem"/>
        <w:numPr>
          <w:ilvl w:val="0"/>
          <w:numId w:val="2"/>
        </w:numPr>
        <w:tabs>
          <w:tab w:val="left" w:pos="700"/>
        </w:tabs>
        <w:spacing w:line="360" w:lineRule="auto"/>
        <w:rPr>
          <w:rFonts w:ascii="Aptos" w:eastAsia="Arial" w:hAnsi="Aptos" w:cstheme="majorHAnsi"/>
          <w:b/>
          <w:sz w:val="24"/>
          <w:szCs w:val="24"/>
          <w:lang w:val="en-GB"/>
        </w:rPr>
      </w:pPr>
      <w:bookmarkStart w:id="0" w:name="page2"/>
      <w:bookmarkEnd w:id="0"/>
      <w:r w:rsidRPr="00B04446">
        <w:rPr>
          <w:rFonts w:ascii="Aptos" w:eastAsia="Arial" w:hAnsi="Aptos" w:cstheme="majorHAnsi"/>
          <w:b/>
          <w:sz w:val="24"/>
          <w:szCs w:val="24"/>
          <w:lang w:val="en-GB"/>
        </w:rPr>
        <w:t xml:space="preserve">Welcome, </w:t>
      </w:r>
      <w:r w:rsidR="000E41F7" w:rsidRPr="00B04446">
        <w:rPr>
          <w:rFonts w:ascii="Aptos" w:eastAsia="Arial" w:hAnsi="Aptos" w:cstheme="majorHAnsi"/>
          <w:b/>
          <w:sz w:val="24"/>
          <w:szCs w:val="24"/>
          <w:lang w:val="en-GB"/>
        </w:rPr>
        <w:t>a</w:t>
      </w:r>
      <w:r w:rsidRPr="00B04446">
        <w:rPr>
          <w:rFonts w:ascii="Aptos" w:eastAsia="Arial" w:hAnsi="Aptos" w:cstheme="majorHAnsi"/>
          <w:b/>
          <w:sz w:val="24"/>
          <w:szCs w:val="24"/>
          <w:lang w:val="en-GB"/>
        </w:rPr>
        <w:t>doption of the agenda</w:t>
      </w:r>
    </w:p>
    <w:p w14:paraId="4833F43B" w14:textId="73DE4189" w:rsidR="00676F91" w:rsidRDefault="00477CF9" w:rsidP="000D0E68">
      <w:pPr>
        <w:spacing w:line="360" w:lineRule="auto"/>
        <w:ind w:firstLine="360"/>
        <w:jc w:val="both"/>
        <w:rPr>
          <w:rFonts w:ascii="Aptos" w:eastAsia="Arial" w:hAnsi="Aptos" w:cstheme="majorHAnsi"/>
          <w:sz w:val="24"/>
          <w:szCs w:val="24"/>
          <w:lang w:val="en-GB"/>
        </w:rPr>
      </w:pPr>
      <w:r w:rsidRPr="00B04446">
        <w:rPr>
          <w:rFonts w:ascii="Aptos" w:eastAsia="Arial" w:hAnsi="Aptos" w:cstheme="majorHAnsi"/>
          <w:sz w:val="24"/>
          <w:szCs w:val="24"/>
          <w:lang w:val="en-GB"/>
        </w:rPr>
        <w:t>Mr. Vondra has welcomed the participants</w:t>
      </w:r>
      <w:r w:rsidR="00434EE6">
        <w:rPr>
          <w:rFonts w:ascii="Aptos" w:eastAsia="Arial" w:hAnsi="Aptos" w:cstheme="majorHAnsi"/>
          <w:sz w:val="24"/>
          <w:szCs w:val="24"/>
          <w:lang w:val="en-GB"/>
        </w:rPr>
        <w:t xml:space="preserve"> and, putting a special emphasis on welcoming the new members of the Steering group, appreciated the effort the participants took to come to Prague.</w:t>
      </w:r>
    </w:p>
    <w:p w14:paraId="28E2CED2" w14:textId="72844F11" w:rsidR="00434EE6" w:rsidRPr="00B04446" w:rsidRDefault="00434EE6" w:rsidP="00434EE6">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Th</w:t>
      </w:r>
      <w:r w:rsidR="001D2281">
        <w:rPr>
          <w:rFonts w:ascii="Aptos" w:eastAsia="Arial" w:hAnsi="Aptos" w:cstheme="majorHAnsi"/>
          <w:sz w:val="24"/>
          <w:szCs w:val="24"/>
          <w:lang w:val="en-GB"/>
        </w:rPr>
        <w:t>e</w:t>
      </w:r>
      <w:r>
        <w:rPr>
          <w:rFonts w:ascii="Aptos" w:eastAsia="Arial" w:hAnsi="Aptos" w:cstheme="majorHAnsi"/>
          <w:sz w:val="24"/>
          <w:szCs w:val="24"/>
          <w:lang w:val="en-GB"/>
        </w:rPr>
        <w:t>n</w:t>
      </w:r>
      <w:r w:rsidR="001D2281">
        <w:rPr>
          <w:rFonts w:ascii="Aptos" w:eastAsia="Arial" w:hAnsi="Aptos" w:cstheme="majorHAnsi"/>
          <w:sz w:val="24"/>
          <w:szCs w:val="24"/>
          <w:lang w:val="en-GB"/>
        </w:rPr>
        <w:t>,</w:t>
      </w:r>
      <w:r>
        <w:rPr>
          <w:rFonts w:ascii="Aptos" w:eastAsia="Arial" w:hAnsi="Aptos" w:cstheme="majorHAnsi"/>
          <w:sz w:val="24"/>
          <w:szCs w:val="24"/>
          <w:lang w:val="en-GB"/>
        </w:rPr>
        <w:t xml:space="preserve"> the agenda was proposed and the participants introduced themselves.</w:t>
      </w:r>
    </w:p>
    <w:p w14:paraId="02A71AE5" w14:textId="77777777" w:rsidR="006F77FF" w:rsidRPr="00B04446" w:rsidRDefault="006F77FF" w:rsidP="000D0E68">
      <w:pPr>
        <w:spacing w:line="360" w:lineRule="auto"/>
        <w:ind w:firstLine="360"/>
        <w:jc w:val="both"/>
        <w:rPr>
          <w:rFonts w:ascii="Aptos" w:eastAsia="Arial" w:hAnsi="Aptos" w:cstheme="majorHAnsi"/>
          <w:sz w:val="24"/>
          <w:szCs w:val="24"/>
          <w:lang w:val="en-GB"/>
        </w:rPr>
      </w:pPr>
    </w:p>
    <w:p w14:paraId="43345AA0" w14:textId="4EF942C4" w:rsidR="0040127F" w:rsidRPr="0040127F" w:rsidRDefault="0040127F" w:rsidP="0040127F">
      <w:pPr>
        <w:pStyle w:val="Odstavecseseznamem"/>
        <w:numPr>
          <w:ilvl w:val="0"/>
          <w:numId w:val="2"/>
        </w:numPr>
        <w:spacing w:line="360" w:lineRule="auto"/>
        <w:jc w:val="both"/>
        <w:rPr>
          <w:rFonts w:ascii="Aptos" w:eastAsia="Arial" w:hAnsi="Aptos" w:cstheme="majorHAnsi"/>
          <w:b/>
          <w:bCs/>
          <w:sz w:val="24"/>
          <w:szCs w:val="24"/>
          <w:lang w:val="en-GB"/>
        </w:rPr>
      </w:pPr>
      <w:r w:rsidRPr="0040127F">
        <w:rPr>
          <w:rFonts w:ascii="Aptos" w:eastAsia="Arial" w:hAnsi="Aptos" w:cstheme="majorHAnsi"/>
          <w:b/>
          <w:bCs/>
          <w:sz w:val="24"/>
          <w:szCs w:val="24"/>
          <w:lang w:val="en-GB"/>
        </w:rPr>
        <w:t>PAC report: Progress since the 29th Steering Group Meeting</w:t>
      </w:r>
    </w:p>
    <w:p w14:paraId="1EBF3BFA" w14:textId="77777777" w:rsidR="00325B9A" w:rsidRDefault="001D2281" w:rsidP="00325B9A">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The second point of the agenda started HU PAC Annamária Nádor by appreciating the cooperation between the HU and CZ coordination teams and continued in description of planned activities of PA2 coordination team for the current year. These are</w:t>
      </w:r>
      <w:r w:rsidR="006B4C27">
        <w:rPr>
          <w:rFonts w:ascii="Aptos" w:eastAsia="Arial" w:hAnsi="Aptos" w:cstheme="majorHAnsi"/>
          <w:sz w:val="24"/>
          <w:szCs w:val="24"/>
          <w:lang w:val="en-GB"/>
        </w:rPr>
        <w:t xml:space="preserve"> events in line and coordination with the Bosnian presidency of the EUSRD -</w:t>
      </w:r>
      <w:r>
        <w:rPr>
          <w:rFonts w:ascii="Aptos" w:eastAsia="Arial" w:hAnsi="Aptos" w:cstheme="majorHAnsi"/>
          <w:sz w:val="24"/>
          <w:szCs w:val="24"/>
          <w:lang w:val="en-GB"/>
        </w:rPr>
        <w:t xml:space="preserve"> a panel on Sarajevo Energy Week</w:t>
      </w:r>
      <w:r w:rsidR="006B4C27">
        <w:rPr>
          <w:rFonts w:ascii="Aptos" w:eastAsia="Arial" w:hAnsi="Aptos" w:cstheme="majorHAnsi"/>
          <w:sz w:val="24"/>
          <w:szCs w:val="24"/>
          <w:lang w:val="en-GB"/>
        </w:rPr>
        <w:t xml:space="preserve"> in September 2025, workshop at the 6</w:t>
      </w:r>
      <w:r w:rsidR="006B4C27" w:rsidRPr="006B4C27">
        <w:rPr>
          <w:rFonts w:ascii="Aptos" w:eastAsia="Arial" w:hAnsi="Aptos" w:cstheme="majorHAnsi"/>
          <w:sz w:val="24"/>
          <w:szCs w:val="24"/>
          <w:vertAlign w:val="superscript"/>
          <w:lang w:val="en-GB"/>
        </w:rPr>
        <w:t>th</w:t>
      </w:r>
      <w:r w:rsidR="006B4C27">
        <w:rPr>
          <w:rFonts w:ascii="Aptos" w:eastAsia="Arial" w:hAnsi="Aptos" w:cstheme="majorHAnsi"/>
          <w:sz w:val="24"/>
          <w:szCs w:val="24"/>
          <w:lang w:val="en-GB"/>
        </w:rPr>
        <w:t xml:space="preserve"> EUSDR Annual Forum (5</w:t>
      </w:r>
      <w:r w:rsidR="006B4C27" w:rsidRPr="006B4C27">
        <w:rPr>
          <w:rFonts w:ascii="Aptos" w:eastAsia="Arial" w:hAnsi="Aptos" w:cstheme="majorHAnsi"/>
          <w:sz w:val="24"/>
          <w:szCs w:val="24"/>
          <w:vertAlign w:val="superscript"/>
          <w:lang w:val="en-GB"/>
        </w:rPr>
        <w:t>th</w:t>
      </w:r>
      <w:r w:rsidR="006B4C27">
        <w:rPr>
          <w:rFonts w:ascii="Aptos" w:eastAsia="Arial" w:hAnsi="Aptos" w:cstheme="majorHAnsi"/>
          <w:sz w:val="24"/>
          <w:szCs w:val="24"/>
          <w:lang w:val="en-GB"/>
        </w:rPr>
        <w:t xml:space="preserve"> – 6</w:t>
      </w:r>
      <w:r w:rsidR="006B4C27" w:rsidRPr="006B4C27">
        <w:rPr>
          <w:rFonts w:ascii="Aptos" w:eastAsia="Arial" w:hAnsi="Aptos" w:cstheme="majorHAnsi"/>
          <w:sz w:val="24"/>
          <w:szCs w:val="24"/>
          <w:vertAlign w:val="superscript"/>
          <w:lang w:val="en-GB"/>
        </w:rPr>
        <w:t>th</w:t>
      </w:r>
      <w:r w:rsidR="006B4C27">
        <w:rPr>
          <w:rFonts w:ascii="Aptos" w:eastAsia="Arial" w:hAnsi="Aptos" w:cstheme="majorHAnsi"/>
          <w:sz w:val="24"/>
          <w:szCs w:val="24"/>
          <w:lang w:val="en-GB"/>
        </w:rPr>
        <w:t xml:space="preserve"> November in Sarajevo) on the topic </w:t>
      </w:r>
      <w:r w:rsidR="006B4C27" w:rsidRPr="006B4C27">
        <w:rPr>
          <w:rFonts w:ascii="Aptos" w:eastAsia="Arial" w:hAnsi="Aptos" w:cstheme="majorHAnsi"/>
          <w:i/>
          <w:iCs/>
          <w:sz w:val="24"/>
          <w:szCs w:val="24"/>
          <w:lang w:val="en-GB"/>
        </w:rPr>
        <w:t>Affordable, secure and sustainable energy for the Danube Region</w:t>
      </w:r>
      <w:r w:rsidR="006B4C27">
        <w:rPr>
          <w:rFonts w:ascii="Aptos" w:eastAsia="Arial" w:hAnsi="Aptos" w:cstheme="majorHAnsi"/>
          <w:sz w:val="24"/>
          <w:szCs w:val="24"/>
          <w:lang w:val="en-GB"/>
        </w:rPr>
        <w:t xml:space="preserve">. </w:t>
      </w:r>
    </w:p>
    <w:p w14:paraId="0D5DBEE0" w14:textId="23BCD835" w:rsidR="004975B0" w:rsidRDefault="006B4C27" w:rsidP="00325B9A">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Ms. Nádor continued with informing the Steering Group about the meeting of coordination team with new DYC members that happened in February and the involvement of the PAC teams in the ongoing governance discussions in the Strategy</w:t>
      </w:r>
      <w:r w:rsidR="002F5240">
        <w:rPr>
          <w:rFonts w:ascii="Aptos" w:eastAsia="Arial" w:hAnsi="Aptos" w:cstheme="majorHAnsi"/>
          <w:sz w:val="24"/>
          <w:szCs w:val="24"/>
          <w:lang w:val="en-GB"/>
        </w:rPr>
        <w:t>. The PAC Meeting in Sarajevo, February, was also mentioned, where presidency programme and rich discussions were made including on the cross-PA cooperation.</w:t>
      </w:r>
    </w:p>
    <w:p w14:paraId="29A90A24" w14:textId="7DB8BF2D" w:rsidR="002F5240" w:rsidRDefault="002F5240" w:rsidP="001D2281">
      <w:pPr>
        <w:spacing w:line="360" w:lineRule="auto"/>
        <w:jc w:val="both"/>
        <w:rPr>
          <w:rFonts w:ascii="Aptos" w:eastAsia="Arial" w:hAnsi="Aptos" w:cstheme="majorHAnsi"/>
          <w:sz w:val="24"/>
          <w:szCs w:val="24"/>
          <w:lang w:val="en-GB"/>
        </w:rPr>
      </w:pPr>
      <w:r>
        <w:rPr>
          <w:rFonts w:ascii="Aptos" w:eastAsia="Arial" w:hAnsi="Aptos" w:cstheme="majorHAnsi"/>
          <w:sz w:val="24"/>
          <w:szCs w:val="24"/>
          <w:lang w:val="en-GB"/>
        </w:rPr>
        <w:t>The SG was also informed about the upcoming update of PA2 website and about the March meeting with the DRP and successful applicants to 2</w:t>
      </w:r>
      <w:r w:rsidRPr="002F5240">
        <w:rPr>
          <w:rFonts w:ascii="Aptos" w:eastAsia="Arial" w:hAnsi="Aptos" w:cstheme="majorHAnsi"/>
          <w:sz w:val="24"/>
          <w:szCs w:val="24"/>
          <w:vertAlign w:val="superscript"/>
          <w:lang w:val="en-GB"/>
        </w:rPr>
        <w:t>nd</w:t>
      </w:r>
      <w:r>
        <w:rPr>
          <w:rFonts w:ascii="Aptos" w:eastAsia="Arial" w:hAnsi="Aptos" w:cstheme="majorHAnsi"/>
          <w:sz w:val="24"/>
          <w:szCs w:val="24"/>
          <w:lang w:val="en-GB"/>
        </w:rPr>
        <w:t xml:space="preserve"> SMF call projects (</w:t>
      </w:r>
      <w:proofErr w:type="spellStart"/>
      <w:r>
        <w:rPr>
          <w:rFonts w:ascii="Aptos" w:eastAsia="Arial" w:hAnsi="Aptos" w:cstheme="majorHAnsi"/>
          <w:sz w:val="24"/>
          <w:szCs w:val="24"/>
          <w:lang w:val="en-GB"/>
        </w:rPr>
        <w:t>eu.energy</w:t>
      </w:r>
      <w:proofErr w:type="spellEnd"/>
      <w:r>
        <w:rPr>
          <w:rFonts w:ascii="Aptos" w:eastAsia="Arial" w:hAnsi="Aptos" w:cstheme="majorHAnsi"/>
          <w:sz w:val="24"/>
          <w:szCs w:val="24"/>
          <w:lang w:val="en-GB"/>
        </w:rPr>
        <w:t xml:space="preserve">, </w:t>
      </w:r>
      <w:proofErr w:type="spellStart"/>
      <w:r>
        <w:rPr>
          <w:rFonts w:ascii="Aptos" w:eastAsia="Arial" w:hAnsi="Aptos" w:cstheme="majorHAnsi"/>
          <w:sz w:val="24"/>
          <w:szCs w:val="24"/>
          <w:lang w:val="en-GB"/>
        </w:rPr>
        <w:t>StoreMore</w:t>
      </w:r>
      <w:proofErr w:type="spellEnd"/>
      <w:r>
        <w:rPr>
          <w:rFonts w:ascii="Aptos" w:eastAsia="Arial" w:hAnsi="Aptos" w:cstheme="majorHAnsi"/>
          <w:sz w:val="24"/>
          <w:szCs w:val="24"/>
          <w:lang w:val="en-GB"/>
        </w:rPr>
        <w:t xml:space="preserve"> Warmth, EE Heritage, </w:t>
      </w:r>
      <w:proofErr w:type="spellStart"/>
      <w:r>
        <w:rPr>
          <w:rFonts w:ascii="Aptos" w:eastAsia="Arial" w:hAnsi="Aptos" w:cstheme="majorHAnsi"/>
          <w:sz w:val="24"/>
          <w:szCs w:val="24"/>
          <w:lang w:val="en-GB"/>
        </w:rPr>
        <w:t>DanubeEnergy</w:t>
      </w:r>
      <w:proofErr w:type="spellEnd"/>
      <w:r>
        <w:rPr>
          <w:rFonts w:ascii="Aptos" w:eastAsia="Arial" w:hAnsi="Aptos" w:cstheme="majorHAnsi"/>
          <w:sz w:val="24"/>
          <w:szCs w:val="24"/>
          <w:lang w:val="en-GB"/>
        </w:rPr>
        <w:t>), as the PAC teams are supporting these projects.</w:t>
      </w:r>
    </w:p>
    <w:p w14:paraId="7859F502" w14:textId="57082D9A" w:rsidR="002F5240" w:rsidRDefault="002F5240" w:rsidP="00325B9A">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 xml:space="preserve">Ms. Nádor continued by introducing the HU activities shortly presenting the upcoming study on the hydrogen market of the DRS countries being prepared by KPMG, which will be presented by Márton Sipos. Other activities of HU coordination presented were the continuous work on the DESTINE project database and follow-up of supported projects </w:t>
      </w:r>
      <w:r w:rsidR="000A16EF">
        <w:rPr>
          <w:rFonts w:ascii="Aptos" w:eastAsia="Arial" w:hAnsi="Aptos" w:cstheme="majorHAnsi"/>
          <w:sz w:val="24"/>
          <w:szCs w:val="24"/>
          <w:lang w:val="en-GB"/>
        </w:rPr>
        <w:t xml:space="preserve">which among others are </w:t>
      </w:r>
      <w:proofErr w:type="spellStart"/>
      <w:r>
        <w:rPr>
          <w:rFonts w:ascii="Aptos" w:eastAsia="Arial" w:hAnsi="Aptos" w:cstheme="majorHAnsi"/>
          <w:sz w:val="24"/>
          <w:szCs w:val="24"/>
          <w:lang w:val="en-GB"/>
        </w:rPr>
        <w:t>GeHeCo</w:t>
      </w:r>
      <w:proofErr w:type="spellEnd"/>
      <w:r>
        <w:rPr>
          <w:rFonts w:ascii="Aptos" w:eastAsia="Arial" w:hAnsi="Aptos" w:cstheme="majorHAnsi"/>
          <w:sz w:val="24"/>
          <w:szCs w:val="24"/>
          <w:lang w:val="en-GB"/>
        </w:rPr>
        <w:t xml:space="preserve">, </w:t>
      </w:r>
      <w:proofErr w:type="spellStart"/>
      <w:r>
        <w:rPr>
          <w:rFonts w:ascii="Aptos" w:eastAsia="Arial" w:hAnsi="Aptos" w:cstheme="majorHAnsi"/>
          <w:sz w:val="24"/>
          <w:szCs w:val="24"/>
          <w:lang w:val="en-GB"/>
        </w:rPr>
        <w:t>GreetGEO</w:t>
      </w:r>
      <w:proofErr w:type="spellEnd"/>
      <w:r>
        <w:rPr>
          <w:rFonts w:ascii="Aptos" w:eastAsia="Arial" w:hAnsi="Aptos" w:cstheme="majorHAnsi"/>
          <w:sz w:val="24"/>
          <w:szCs w:val="24"/>
          <w:lang w:val="en-GB"/>
        </w:rPr>
        <w:t xml:space="preserve">, DECA and </w:t>
      </w:r>
      <w:proofErr w:type="spellStart"/>
      <w:r>
        <w:rPr>
          <w:rFonts w:ascii="Aptos" w:eastAsia="Arial" w:hAnsi="Aptos" w:cstheme="majorHAnsi"/>
          <w:sz w:val="24"/>
          <w:szCs w:val="24"/>
          <w:lang w:val="en-GB"/>
        </w:rPr>
        <w:t>StoreMore</w:t>
      </w:r>
      <w:proofErr w:type="spellEnd"/>
      <w:r>
        <w:rPr>
          <w:rFonts w:ascii="Aptos" w:eastAsia="Arial" w:hAnsi="Aptos" w:cstheme="majorHAnsi"/>
          <w:sz w:val="24"/>
          <w:szCs w:val="24"/>
          <w:lang w:val="en-GB"/>
        </w:rPr>
        <w:t>.</w:t>
      </w:r>
    </w:p>
    <w:p w14:paraId="44FB7193" w14:textId="77777777" w:rsidR="00304E84" w:rsidRDefault="000A16EF" w:rsidP="00325B9A">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 xml:space="preserve">CZ PAC Tomáš Vondra continued by brief introduction of CZ activities informing the SG that in December 2024 CZ coordination have finished the Energy Efficiency in Industry study which is now available at the PA2 website and the intention of creating </w:t>
      </w:r>
      <w:r>
        <w:rPr>
          <w:rFonts w:ascii="Aptos" w:eastAsia="Arial" w:hAnsi="Aptos" w:cstheme="majorHAnsi"/>
          <w:sz w:val="24"/>
          <w:szCs w:val="24"/>
          <w:lang w:val="en-GB"/>
        </w:rPr>
        <w:lastRenderedPageBreak/>
        <w:t xml:space="preserve">a </w:t>
      </w:r>
      <w:proofErr w:type="spellStart"/>
      <w:r>
        <w:rPr>
          <w:rFonts w:ascii="Aptos" w:eastAsia="Arial" w:hAnsi="Aptos" w:cstheme="majorHAnsi"/>
          <w:sz w:val="24"/>
          <w:szCs w:val="24"/>
          <w:lang w:val="en-GB"/>
        </w:rPr>
        <w:t>onepager</w:t>
      </w:r>
      <w:proofErr w:type="spellEnd"/>
      <w:r>
        <w:rPr>
          <w:rFonts w:ascii="Aptos" w:eastAsia="Arial" w:hAnsi="Aptos" w:cstheme="majorHAnsi"/>
          <w:sz w:val="24"/>
          <w:szCs w:val="24"/>
          <w:lang w:val="en-GB"/>
        </w:rPr>
        <w:t xml:space="preserve"> for the study. Further Mr. Vondra mentioned that CZ coordination works on establishing contacts </w:t>
      </w:r>
      <w:r w:rsidR="00E333FB">
        <w:rPr>
          <w:rFonts w:ascii="Aptos" w:eastAsia="Arial" w:hAnsi="Aptos" w:cstheme="majorHAnsi"/>
          <w:sz w:val="24"/>
          <w:szCs w:val="24"/>
          <w:lang w:val="en-GB"/>
        </w:rPr>
        <w:t xml:space="preserve">with the projects and highlighted the new cooperation with the projects Active2Public Transport and </w:t>
      </w:r>
      <w:proofErr w:type="spellStart"/>
      <w:r w:rsidR="00E333FB">
        <w:rPr>
          <w:rFonts w:ascii="Aptos" w:eastAsia="Arial" w:hAnsi="Aptos" w:cstheme="majorHAnsi"/>
          <w:sz w:val="24"/>
          <w:szCs w:val="24"/>
          <w:lang w:val="en-GB"/>
        </w:rPr>
        <w:t>SMEnergy</w:t>
      </w:r>
      <w:proofErr w:type="spellEnd"/>
      <w:r w:rsidR="00E333FB">
        <w:rPr>
          <w:rFonts w:ascii="Aptos" w:eastAsia="Arial" w:hAnsi="Aptos" w:cstheme="majorHAnsi"/>
          <w:sz w:val="24"/>
          <w:szCs w:val="24"/>
          <w:lang w:val="en-GB"/>
        </w:rPr>
        <w:t>, as both of the projects will be introduced later in the meeting. Mr. Vondra have also apologised for delivering the 2024 newsletter late, but mentioned that it is also already available on the PA2 website.</w:t>
      </w:r>
    </w:p>
    <w:p w14:paraId="3E8AB780" w14:textId="77777777" w:rsidR="00304E84" w:rsidRDefault="00304E84" w:rsidP="00304E84">
      <w:pPr>
        <w:spacing w:line="360" w:lineRule="auto"/>
        <w:jc w:val="both"/>
        <w:rPr>
          <w:rFonts w:ascii="Aptos" w:eastAsia="Arial" w:hAnsi="Aptos" w:cstheme="majorHAnsi"/>
          <w:sz w:val="24"/>
          <w:szCs w:val="24"/>
          <w:lang w:val="en-GB"/>
        </w:rPr>
      </w:pPr>
    </w:p>
    <w:p w14:paraId="1754873B" w14:textId="6704700C" w:rsidR="00E75746" w:rsidRPr="00304E84" w:rsidRDefault="0040127F" w:rsidP="00304E84">
      <w:pPr>
        <w:pStyle w:val="Odstavecseseznamem"/>
        <w:numPr>
          <w:ilvl w:val="0"/>
          <w:numId w:val="2"/>
        </w:numPr>
        <w:spacing w:line="360" w:lineRule="auto"/>
        <w:jc w:val="both"/>
        <w:rPr>
          <w:rFonts w:ascii="Aptos" w:eastAsia="Arial" w:hAnsi="Aptos" w:cstheme="majorHAnsi"/>
          <w:sz w:val="24"/>
          <w:szCs w:val="24"/>
          <w:lang w:val="en-GB"/>
        </w:rPr>
      </w:pPr>
      <w:r w:rsidRPr="00304E84">
        <w:rPr>
          <w:rFonts w:ascii="Aptos" w:eastAsia="Arial" w:hAnsi="Aptos" w:cstheme="majorHAnsi"/>
          <w:b/>
          <w:bCs/>
          <w:sz w:val="24"/>
          <w:szCs w:val="24"/>
          <w:lang w:val="en-GB"/>
        </w:rPr>
        <w:t>Hydrogen Economy and Russian Gas Phaseout: Presentation of 2 studies being prepared</w:t>
      </w:r>
    </w:p>
    <w:p w14:paraId="7F104E2F" w14:textId="38AB20A7" w:rsidR="00304E84" w:rsidRDefault="00304E84" w:rsidP="00304E84">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Continuing the meeting, Mr. Sipos has taken the floor to present the study on hydrogen economy in the Danube Region. The study is divided on three steps – State of the art of hydrogen economy (current phase), in-depth study and value chain assessment and hydrogen economy development strategy.</w:t>
      </w:r>
    </w:p>
    <w:p w14:paraId="57B4D77D" w14:textId="1A36E841" w:rsidR="00BD7843" w:rsidRDefault="00304E84"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When working with data, the data are obtained from IEA, as the Agency has very detailed data, but also a collaboration with national experts is used also for the creation of the study.</w:t>
      </w:r>
      <w:r w:rsidR="00BD7843">
        <w:rPr>
          <w:rFonts w:ascii="Aptos" w:eastAsia="Arial" w:hAnsi="Aptos" w:cstheme="majorHAnsi"/>
          <w:sz w:val="24"/>
          <w:szCs w:val="24"/>
          <w:lang w:val="en-GB"/>
        </w:rPr>
        <w:t xml:space="preserve"> The research is also gathering the overview of current projects in the </w:t>
      </w:r>
      <w:proofErr w:type="spellStart"/>
      <w:r w:rsidR="00BD7843">
        <w:rPr>
          <w:rFonts w:ascii="Aptos" w:eastAsia="Arial" w:hAnsi="Aptos" w:cstheme="majorHAnsi"/>
          <w:sz w:val="24"/>
          <w:szCs w:val="24"/>
          <w:lang w:val="en-GB"/>
        </w:rPr>
        <w:t>filed</w:t>
      </w:r>
      <w:proofErr w:type="spellEnd"/>
      <w:r w:rsidR="00BD7843">
        <w:rPr>
          <w:rFonts w:ascii="Aptos" w:eastAsia="Arial" w:hAnsi="Aptos" w:cstheme="majorHAnsi"/>
          <w:sz w:val="24"/>
          <w:szCs w:val="24"/>
          <w:lang w:val="en-GB"/>
        </w:rPr>
        <w:t xml:space="preserve"> of hydrogen economy, but also the legislation of specific countries. The study will not only deliver an overview of hydrogen economy, but will also assess the potential, advantages and disadvantages of a specific countries.</w:t>
      </w:r>
    </w:p>
    <w:p w14:paraId="00A033A8" w14:textId="10A1D42E" w:rsidR="00BD7843" w:rsidRDefault="00626A81"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Mr. Sipos has mentioned, that in Europe there are two leading countries in the field, which are the UK and Germany. The hydrogen market is however not developed and the share of green hydrogen is lower than 5%.</w:t>
      </w:r>
      <w:r w:rsidR="00BB0C4B">
        <w:rPr>
          <w:rFonts w:ascii="Aptos" w:eastAsia="Arial" w:hAnsi="Aptos" w:cstheme="majorHAnsi"/>
          <w:sz w:val="24"/>
          <w:szCs w:val="24"/>
          <w:lang w:val="en-GB"/>
        </w:rPr>
        <w:t xml:space="preserve"> The hydrogen is today produced, where it is consumed.</w:t>
      </w:r>
    </w:p>
    <w:p w14:paraId="0CBD987B" w14:textId="07742C58" w:rsidR="00BB0C4B" w:rsidRDefault="00BB0C4B"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Hydrogen can be transported by hydrogen only pipelines, but also by natural gas pipelines or cool it similarly to LNG. Currently, transport takes place only between industrial facilities</w:t>
      </w:r>
      <w:r w:rsidR="00910B33">
        <w:rPr>
          <w:rFonts w:ascii="Aptos" w:eastAsia="Arial" w:hAnsi="Aptos" w:cstheme="majorHAnsi"/>
          <w:sz w:val="24"/>
          <w:szCs w:val="24"/>
          <w:lang w:val="en-GB"/>
        </w:rPr>
        <w:t>, but most of the EUSDR countries plan to support hydrogen in order to aid their decarbonization goals.</w:t>
      </w:r>
      <w:r w:rsidR="002F2044">
        <w:rPr>
          <w:rFonts w:ascii="Aptos" w:eastAsia="Arial" w:hAnsi="Aptos" w:cstheme="majorHAnsi"/>
          <w:sz w:val="24"/>
          <w:szCs w:val="24"/>
          <w:lang w:val="en-GB"/>
        </w:rPr>
        <w:t xml:space="preserve"> In this effort, Austria and Germany were mentioned as being most forward on the regulatory side.</w:t>
      </w:r>
    </w:p>
    <w:p w14:paraId="3F4E5A0D" w14:textId="2D5CE738" w:rsidR="002F2044" w:rsidRDefault="002F2044"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Among the opportunities for collaboration, Mr. Sipos has named joint policy and strategy approaches of EUSDR countries, regulatory alignment to foster hydrogen cross-border trade, or industrial partnerships.</w:t>
      </w:r>
    </w:p>
    <w:p w14:paraId="26C95E42" w14:textId="2E5A37D3" w:rsidR="002F2044" w:rsidRDefault="00B86B1A"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Concerning the Russian gas substitution study, there was a planned structure for the study introduced.</w:t>
      </w:r>
    </w:p>
    <w:p w14:paraId="18C06879" w14:textId="3231440A" w:rsidR="00F0106B" w:rsidRDefault="00F0106B" w:rsidP="00BD784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lastRenderedPageBreak/>
        <w:t>Ms. Nádor has appreciated the presentation and highlighted the importance of the topic. An appeal on the Steering Group was made, to let the HU coordination know about the upcoming topics on the hydrogen topic, where the study could be presented.</w:t>
      </w:r>
    </w:p>
    <w:p w14:paraId="28862272" w14:textId="553E3AB7" w:rsidR="00304E84" w:rsidRPr="00F0106B" w:rsidRDefault="00304E84" w:rsidP="00304E84">
      <w:pPr>
        <w:spacing w:line="360" w:lineRule="auto"/>
        <w:jc w:val="both"/>
        <w:rPr>
          <w:rFonts w:ascii="Aptos" w:eastAsia="Arial" w:hAnsi="Aptos" w:cstheme="majorHAnsi"/>
          <w:sz w:val="24"/>
          <w:szCs w:val="24"/>
          <w:lang w:val="en-GB"/>
        </w:rPr>
      </w:pPr>
    </w:p>
    <w:p w14:paraId="6550168B" w14:textId="6CD66B00" w:rsidR="0040127F" w:rsidRPr="0040127F" w:rsidRDefault="0040127F" w:rsidP="0040127F">
      <w:pPr>
        <w:pStyle w:val="Odstavecseseznamem"/>
        <w:numPr>
          <w:ilvl w:val="0"/>
          <w:numId w:val="2"/>
        </w:numPr>
        <w:spacing w:line="360" w:lineRule="auto"/>
        <w:jc w:val="both"/>
        <w:rPr>
          <w:rFonts w:ascii="Aptos" w:eastAsia="Arial" w:hAnsi="Aptos" w:cstheme="majorHAnsi"/>
          <w:sz w:val="24"/>
          <w:szCs w:val="24"/>
          <w:lang w:val="en-GB"/>
        </w:rPr>
      </w:pPr>
      <w:r w:rsidRPr="0040127F">
        <w:rPr>
          <w:rFonts w:ascii="Aptos" w:eastAsia="Arial" w:hAnsi="Aptos" w:cstheme="majorHAnsi"/>
          <w:b/>
          <w:bCs/>
          <w:sz w:val="24"/>
          <w:szCs w:val="24"/>
          <w:lang w:val="en-GB"/>
        </w:rPr>
        <w:t>SG members roundtable</w:t>
      </w:r>
    </w:p>
    <w:p w14:paraId="484C766C" w14:textId="71F5ED07" w:rsidR="0040127F" w:rsidRDefault="00F0106B" w:rsidP="00F0106B">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Mr. Martinez (</w:t>
      </w:r>
      <w:r w:rsidR="00BF44AF">
        <w:rPr>
          <w:rFonts w:ascii="Aptos" w:eastAsia="Arial" w:hAnsi="Aptos" w:cstheme="majorHAnsi"/>
          <w:sz w:val="24"/>
          <w:szCs w:val="24"/>
          <w:lang w:val="en-GB"/>
        </w:rPr>
        <w:t>HR</w:t>
      </w:r>
      <w:r>
        <w:rPr>
          <w:rFonts w:ascii="Aptos" w:eastAsia="Arial" w:hAnsi="Aptos" w:cstheme="majorHAnsi"/>
          <w:sz w:val="24"/>
          <w:szCs w:val="24"/>
          <w:lang w:val="en-GB"/>
        </w:rPr>
        <w:t>) has started the roundtable by giving out the information about the updated NECP of Croatia concerning the development of electricity grids. Croatia aims to improve the control of electricity system by 2030, in order to accommodate more energy, which is expected to be connected until 2030. Goal is to expand, digitalise and modernise the electricity system, but also to map the potential</w:t>
      </w:r>
      <w:r w:rsidR="00BF44AF">
        <w:rPr>
          <w:rFonts w:ascii="Aptos" w:eastAsia="Arial" w:hAnsi="Aptos" w:cstheme="majorHAnsi"/>
          <w:sz w:val="24"/>
          <w:szCs w:val="24"/>
          <w:lang w:val="en-GB"/>
        </w:rPr>
        <w:t xml:space="preserve"> for expanding and revitalisation of transmission network and support to the infrastructure development. Further, Croatia aims to increase the storage capacities and increase the connectivity of continental and coastal Croatia. 303 000 000 € will be invested in increasing the capacity of high voltage networks to strengthen the capacity in southern Croatia, connect it with the mainland and to connect 6</w:t>
      </w:r>
      <w:r w:rsidR="00BF44AF" w:rsidRPr="00BF44AF">
        <w:rPr>
          <w:rFonts w:ascii="Aptos" w:eastAsia="Arial" w:hAnsi="Aptos" w:cstheme="majorHAnsi"/>
          <w:sz w:val="24"/>
          <w:szCs w:val="24"/>
          <w:vertAlign w:val="superscript"/>
          <w:lang w:val="en-GB"/>
        </w:rPr>
        <w:t>th</w:t>
      </w:r>
      <w:r w:rsidR="00BF44AF">
        <w:rPr>
          <w:rFonts w:ascii="Aptos" w:eastAsia="Arial" w:hAnsi="Aptos" w:cstheme="majorHAnsi"/>
          <w:sz w:val="24"/>
          <w:szCs w:val="24"/>
          <w:lang w:val="en-GB"/>
        </w:rPr>
        <w:t xml:space="preserve"> largest island to the continental grid. The DSO will further invest 0,6 billion € by 2026 to modernise the distribution system, smart metering and digitalization of the grid.</w:t>
      </w:r>
    </w:p>
    <w:p w14:paraId="1B10863E" w14:textId="6549EA7B" w:rsidR="00970864" w:rsidRDefault="00BF44AF" w:rsidP="00970864">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 xml:space="preserve">Ms. Pepper (AT), has informed the SG about the ongoing project of </w:t>
      </w:r>
      <w:proofErr w:type="spellStart"/>
      <w:r>
        <w:rPr>
          <w:rFonts w:ascii="Aptos" w:eastAsia="Arial" w:hAnsi="Aptos" w:cstheme="majorHAnsi"/>
          <w:sz w:val="24"/>
          <w:szCs w:val="24"/>
          <w:lang w:val="en-GB"/>
        </w:rPr>
        <w:t>Slazburg</w:t>
      </w:r>
      <w:proofErr w:type="spellEnd"/>
      <w:r>
        <w:rPr>
          <w:rFonts w:ascii="Aptos" w:eastAsia="Arial" w:hAnsi="Aptos" w:cstheme="majorHAnsi"/>
          <w:sz w:val="24"/>
          <w:szCs w:val="24"/>
          <w:lang w:val="en-GB"/>
        </w:rPr>
        <w:t xml:space="preserve"> line – connecting the </w:t>
      </w:r>
      <w:r w:rsidR="00907FF6">
        <w:rPr>
          <w:rFonts w:ascii="Aptos" w:eastAsia="Arial" w:hAnsi="Aptos" w:cstheme="majorHAnsi"/>
          <w:sz w:val="24"/>
          <w:szCs w:val="24"/>
          <w:lang w:val="en-GB"/>
        </w:rPr>
        <w:t>upper</w:t>
      </w:r>
      <w:r>
        <w:rPr>
          <w:rFonts w:ascii="Aptos" w:eastAsia="Arial" w:hAnsi="Aptos" w:cstheme="majorHAnsi"/>
          <w:sz w:val="24"/>
          <w:szCs w:val="24"/>
          <w:lang w:val="en-GB"/>
        </w:rPr>
        <w:t xml:space="preserve"> Austria with</w:t>
      </w:r>
      <w:r w:rsidR="00907FF6">
        <w:rPr>
          <w:rFonts w:ascii="Aptos" w:eastAsia="Arial" w:hAnsi="Aptos" w:cstheme="majorHAnsi"/>
          <w:sz w:val="24"/>
          <w:szCs w:val="24"/>
          <w:lang w:val="en-GB"/>
        </w:rPr>
        <w:t xml:space="preserve"> Salzburg</w:t>
      </w:r>
      <w:r>
        <w:rPr>
          <w:rFonts w:ascii="Aptos" w:eastAsia="Arial" w:hAnsi="Aptos" w:cstheme="majorHAnsi"/>
          <w:sz w:val="24"/>
          <w:szCs w:val="24"/>
          <w:lang w:val="en-GB"/>
        </w:rPr>
        <w:t xml:space="preserve"> a</w:t>
      </w:r>
      <w:r w:rsidR="006F46BA">
        <w:rPr>
          <w:rFonts w:ascii="Aptos" w:eastAsia="Arial" w:hAnsi="Aptos" w:cstheme="majorHAnsi"/>
          <w:sz w:val="24"/>
          <w:szCs w:val="24"/>
          <w:lang w:val="en-GB"/>
        </w:rPr>
        <w:t xml:space="preserve"> 3</w:t>
      </w:r>
      <w:r w:rsidR="00907FF6">
        <w:rPr>
          <w:rFonts w:ascii="Aptos" w:eastAsia="Arial" w:hAnsi="Aptos" w:cstheme="majorHAnsi"/>
          <w:sz w:val="24"/>
          <w:szCs w:val="24"/>
          <w:lang w:val="en-GB"/>
        </w:rPr>
        <w:t xml:space="preserve">80 </w:t>
      </w:r>
      <w:r w:rsidR="00907FF6" w:rsidRPr="00907FF6">
        <w:rPr>
          <w:rFonts w:ascii="Aptos" w:eastAsia="Arial" w:hAnsi="Aptos" w:cstheme="majorHAnsi"/>
          <w:sz w:val="24"/>
          <w:szCs w:val="24"/>
          <w:lang w:val="en-GB"/>
        </w:rPr>
        <w:t>kV line</w:t>
      </w:r>
      <w:r w:rsidR="00907FF6">
        <w:rPr>
          <w:rFonts w:ascii="Aptos" w:eastAsia="Arial" w:hAnsi="Aptos" w:cstheme="majorHAnsi"/>
          <w:sz w:val="24"/>
          <w:szCs w:val="24"/>
          <w:lang w:val="en-GB"/>
        </w:rPr>
        <w:t xml:space="preserve"> and the commission</w:t>
      </w:r>
      <w:r w:rsidR="006F46BA">
        <w:rPr>
          <w:rFonts w:ascii="Aptos" w:eastAsia="Arial" w:hAnsi="Aptos" w:cstheme="majorHAnsi"/>
          <w:sz w:val="24"/>
          <w:szCs w:val="24"/>
          <w:lang w:val="en-GB"/>
        </w:rPr>
        <w:t>ing</w:t>
      </w:r>
      <w:r w:rsidR="00907FF6">
        <w:rPr>
          <w:rFonts w:ascii="Aptos" w:eastAsia="Arial" w:hAnsi="Aptos" w:cstheme="majorHAnsi"/>
          <w:sz w:val="24"/>
          <w:szCs w:val="24"/>
          <w:lang w:val="en-GB"/>
        </w:rPr>
        <w:t xml:space="preserve"> began in February 2025. Goal is to remove bottleneck and to strengthen the Austrian 380kV ring allowing the system to transfer the RES electricity from the east of Austria to the pump storage plants in the west. Second project is the </w:t>
      </w:r>
      <w:r w:rsidR="00907FF6" w:rsidRPr="00907FF6">
        <w:rPr>
          <w:rFonts w:ascii="Aptos" w:eastAsia="Arial" w:hAnsi="Aptos" w:cstheme="majorHAnsi"/>
          <w:sz w:val="24"/>
          <w:szCs w:val="24"/>
          <w:lang w:val="en-GB"/>
        </w:rPr>
        <w:t>Kärnten</w:t>
      </w:r>
      <w:r w:rsidR="00907FF6">
        <w:rPr>
          <w:rFonts w:ascii="Aptos" w:eastAsia="Arial" w:hAnsi="Aptos" w:cstheme="majorHAnsi"/>
          <w:sz w:val="24"/>
          <w:szCs w:val="24"/>
          <w:lang w:val="en-GB"/>
        </w:rPr>
        <w:t xml:space="preserve"> line, a 3</w:t>
      </w:r>
      <w:r w:rsidR="006F46BA">
        <w:rPr>
          <w:rFonts w:ascii="Aptos" w:eastAsia="Arial" w:hAnsi="Aptos" w:cstheme="majorHAnsi"/>
          <w:sz w:val="24"/>
          <w:szCs w:val="24"/>
          <w:lang w:val="en-GB"/>
        </w:rPr>
        <w:t>8</w:t>
      </w:r>
      <w:r w:rsidR="00907FF6">
        <w:rPr>
          <w:rFonts w:ascii="Aptos" w:eastAsia="Arial" w:hAnsi="Aptos" w:cstheme="majorHAnsi"/>
          <w:sz w:val="24"/>
          <w:szCs w:val="24"/>
          <w:lang w:val="en-GB"/>
        </w:rPr>
        <w:t>0 kV line to complete the electricity ring. The project shall be commissioned in 2032 and will strengthen the connection to Italy and Slovenia and will help the regional RES integration.</w:t>
      </w:r>
    </w:p>
    <w:p w14:paraId="10B077B3" w14:textId="501C0E66" w:rsidR="00F0106B" w:rsidRDefault="00970864" w:rsidP="009633E3">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Mr. Cerar (SI) has mentioned, that Slovenia is active in the smart metering, and focusing mostly on the distribution level, because Slovenia experiences a significant development of</w:t>
      </w:r>
      <w:r w:rsidR="00907FF6">
        <w:rPr>
          <w:rFonts w:ascii="Aptos" w:eastAsia="Arial" w:hAnsi="Aptos" w:cstheme="majorHAnsi"/>
          <w:sz w:val="24"/>
          <w:szCs w:val="24"/>
          <w:lang w:val="en-GB"/>
        </w:rPr>
        <w:t xml:space="preserve"> </w:t>
      </w:r>
      <w:r>
        <w:rPr>
          <w:rFonts w:ascii="Aptos" w:eastAsia="Arial" w:hAnsi="Aptos" w:cstheme="majorHAnsi"/>
          <w:sz w:val="24"/>
          <w:szCs w:val="24"/>
          <w:lang w:val="en-GB"/>
        </w:rPr>
        <w:t>rooftop solar powerplants, that need to be integrated into the grid. The grid also needs further investments connected with the floods two years ago. An important part of the grid modernisation shall be co-financed by the EU funds. About 90% of Slovenian metering devices are smart meters.</w:t>
      </w:r>
    </w:p>
    <w:p w14:paraId="069EA53D" w14:textId="05E2989D" w:rsidR="00AF47E5" w:rsidRPr="00AF47E5" w:rsidRDefault="00AF47E5" w:rsidP="00AF47E5">
      <w:pPr>
        <w:spacing w:line="360" w:lineRule="auto"/>
        <w:ind w:firstLine="360"/>
        <w:jc w:val="both"/>
        <w:rPr>
          <w:rFonts w:ascii="Aptos" w:eastAsia="Arial" w:hAnsi="Aptos" w:cstheme="majorHAnsi"/>
          <w:sz w:val="24"/>
          <w:szCs w:val="24"/>
          <w:lang w:val="en-GB"/>
        </w:rPr>
      </w:pPr>
      <w:r w:rsidRPr="00AF47E5">
        <w:rPr>
          <w:rFonts w:ascii="Aptos" w:eastAsia="Arial" w:hAnsi="Aptos" w:cstheme="majorHAnsi"/>
          <w:sz w:val="24"/>
          <w:szCs w:val="24"/>
          <w:lang w:val="en-GB"/>
        </w:rPr>
        <w:lastRenderedPageBreak/>
        <w:t xml:space="preserve">Mr. </w:t>
      </w:r>
      <w:proofErr w:type="spellStart"/>
      <w:r w:rsidRPr="00AF47E5">
        <w:rPr>
          <w:rFonts w:ascii="Aptos" w:eastAsia="Arial" w:hAnsi="Aptos" w:cstheme="majorHAnsi"/>
          <w:sz w:val="24"/>
          <w:szCs w:val="24"/>
          <w:lang w:val="en-GB"/>
        </w:rPr>
        <w:t>Heyna</w:t>
      </w:r>
      <w:proofErr w:type="spellEnd"/>
      <w:r w:rsidRPr="00AF47E5">
        <w:rPr>
          <w:rFonts w:ascii="Aptos" w:eastAsia="Arial" w:hAnsi="Aptos" w:cstheme="majorHAnsi"/>
          <w:sz w:val="24"/>
          <w:szCs w:val="24"/>
          <w:lang w:val="en-GB"/>
        </w:rPr>
        <w:t xml:space="preserve"> (DE</w:t>
      </w:r>
      <w:r>
        <w:rPr>
          <w:rFonts w:ascii="Aptos" w:eastAsia="Arial" w:hAnsi="Aptos" w:cstheme="majorHAnsi"/>
          <w:sz w:val="24"/>
          <w:szCs w:val="24"/>
          <w:lang w:val="en-GB"/>
        </w:rPr>
        <w:t>-BY</w:t>
      </w:r>
      <w:r w:rsidRPr="00AF47E5">
        <w:rPr>
          <w:rFonts w:ascii="Aptos" w:eastAsia="Arial" w:hAnsi="Aptos" w:cstheme="majorHAnsi"/>
          <w:sz w:val="24"/>
          <w:szCs w:val="24"/>
          <w:lang w:val="en-GB"/>
        </w:rPr>
        <w:t xml:space="preserve">) informed the SG about key infrastructure developments in </w:t>
      </w:r>
      <w:r>
        <w:rPr>
          <w:rFonts w:ascii="Aptos" w:eastAsia="Arial" w:hAnsi="Aptos" w:cstheme="majorHAnsi"/>
          <w:sz w:val="24"/>
          <w:szCs w:val="24"/>
          <w:lang w:val="en-GB"/>
        </w:rPr>
        <w:t>Germany</w:t>
      </w:r>
      <w:r w:rsidRPr="00AF47E5">
        <w:rPr>
          <w:rFonts w:ascii="Aptos" w:eastAsia="Arial" w:hAnsi="Aptos" w:cstheme="majorHAnsi"/>
          <w:sz w:val="24"/>
          <w:szCs w:val="24"/>
          <w:lang w:val="en-GB"/>
        </w:rPr>
        <w:t xml:space="preserve"> aimed at improving the integration of renewable energy into both the transmission and distribution systems.</w:t>
      </w:r>
    </w:p>
    <w:p w14:paraId="1C6A91E2" w14:textId="1DE34309" w:rsidR="00AF47E5" w:rsidRPr="00AF47E5" w:rsidRDefault="00AF47E5" w:rsidP="00AF47E5">
      <w:pPr>
        <w:spacing w:line="360" w:lineRule="auto"/>
        <w:ind w:firstLine="360"/>
        <w:jc w:val="both"/>
        <w:rPr>
          <w:rFonts w:ascii="Aptos" w:eastAsia="Arial" w:hAnsi="Aptos" w:cstheme="majorHAnsi"/>
          <w:sz w:val="24"/>
          <w:szCs w:val="24"/>
          <w:lang w:val="en-GB"/>
        </w:rPr>
      </w:pPr>
      <w:r w:rsidRPr="00AF47E5">
        <w:rPr>
          <w:rFonts w:ascii="Aptos" w:eastAsia="Arial" w:hAnsi="Aptos" w:cstheme="majorHAnsi"/>
          <w:sz w:val="24"/>
          <w:szCs w:val="24"/>
          <w:lang w:val="en-GB"/>
        </w:rPr>
        <w:t xml:space="preserve">In the transmission network, he highlighted three major projects. The South-East-Link(+) includes two 525 kV DC lines connecting wind-rich northeastern Germany with Bavaria, addressing transport bottlenecks and reducing circular power flows through Poland and the Czech Republic. Each line will have a transmission capacity of 2 GW, with lengths of 542 km and 705 km, to be completed in 2027 and 2030 respectively. The South-Link will transport onshore and future offshore wind energy from </w:t>
      </w:r>
      <w:proofErr w:type="spellStart"/>
      <w:r w:rsidRPr="00AF47E5">
        <w:rPr>
          <w:rFonts w:ascii="Aptos" w:eastAsia="Arial" w:hAnsi="Aptos" w:cstheme="majorHAnsi"/>
          <w:sz w:val="24"/>
          <w:szCs w:val="24"/>
          <w:lang w:val="en-GB"/>
        </w:rPr>
        <w:t>Wilster</w:t>
      </w:r>
      <w:proofErr w:type="spellEnd"/>
      <w:r w:rsidRPr="00AF47E5">
        <w:rPr>
          <w:rFonts w:ascii="Aptos" w:eastAsia="Arial" w:hAnsi="Aptos" w:cstheme="majorHAnsi"/>
          <w:sz w:val="24"/>
          <w:szCs w:val="24"/>
          <w:lang w:val="en-GB"/>
        </w:rPr>
        <w:t xml:space="preserve"> to </w:t>
      </w:r>
      <w:proofErr w:type="spellStart"/>
      <w:r w:rsidRPr="00AF47E5">
        <w:rPr>
          <w:rFonts w:ascii="Aptos" w:eastAsia="Arial" w:hAnsi="Aptos" w:cstheme="majorHAnsi"/>
          <w:sz w:val="24"/>
          <w:szCs w:val="24"/>
          <w:lang w:val="en-GB"/>
        </w:rPr>
        <w:t>Bergrheinfeld</w:t>
      </w:r>
      <w:proofErr w:type="spellEnd"/>
      <w:r w:rsidRPr="00AF47E5">
        <w:rPr>
          <w:rFonts w:ascii="Aptos" w:eastAsia="Arial" w:hAnsi="Aptos" w:cstheme="majorHAnsi"/>
          <w:sz w:val="24"/>
          <w:szCs w:val="24"/>
          <w:lang w:val="en-GB"/>
        </w:rPr>
        <w:t xml:space="preserve">, securing Bavaria’s electricity supply after the nuclear phase-out and enhancing Germany’s integration into the European grid. This 541 km, 525 kV DC line will also carry 2 GW and is expected to be operational by 2028. The </w:t>
      </w:r>
      <w:proofErr w:type="spellStart"/>
      <w:r w:rsidRPr="00AF47E5">
        <w:rPr>
          <w:rFonts w:ascii="Aptos" w:eastAsia="Arial" w:hAnsi="Aptos" w:cstheme="majorHAnsi"/>
          <w:sz w:val="24"/>
          <w:szCs w:val="24"/>
          <w:lang w:val="en-GB"/>
        </w:rPr>
        <w:t>Altheim</w:t>
      </w:r>
      <w:proofErr w:type="spellEnd"/>
      <w:r w:rsidRPr="00AF47E5">
        <w:rPr>
          <w:rFonts w:ascii="Aptos" w:eastAsia="Arial" w:hAnsi="Aptos" w:cstheme="majorHAnsi"/>
          <w:sz w:val="24"/>
          <w:szCs w:val="24"/>
          <w:lang w:val="en-GB"/>
        </w:rPr>
        <w:t>/</w:t>
      </w:r>
      <w:proofErr w:type="spellStart"/>
      <w:r w:rsidRPr="00AF47E5">
        <w:rPr>
          <w:rFonts w:ascii="Aptos" w:eastAsia="Arial" w:hAnsi="Aptos" w:cstheme="majorHAnsi"/>
          <w:sz w:val="24"/>
          <w:szCs w:val="24"/>
          <w:lang w:val="en-GB"/>
        </w:rPr>
        <w:t>Pleinting</w:t>
      </w:r>
      <w:proofErr w:type="spellEnd"/>
      <w:r w:rsidRPr="00AF47E5">
        <w:rPr>
          <w:rFonts w:ascii="Aptos" w:eastAsia="Arial" w:hAnsi="Aptos" w:cstheme="majorHAnsi"/>
          <w:sz w:val="24"/>
          <w:szCs w:val="24"/>
          <w:lang w:val="en-GB"/>
        </w:rPr>
        <w:t>–</w:t>
      </w:r>
      <w:proofErr w:type="spellStart"/>
      <w:r w:rsidRPr="00AF47E5">
        <w:rPr>
          <w:rFonts w:ascii="Aptos" w:eastAsia="Arial" w:hAnsi="Aptos" w:cstheme="majorHAnsi"/>
          <w:sz w:val="24"/>
          <w:szCs w:val="24"/>
          <w:lang w:val="en-GB"/>
        </w:rPr>
        <w:t>Simbach</w:t>
      </w:r>
      <w:proofErr w:type="spellEnd"/>
      <w:r w:rsidRPr="00AF47E5">
        <w:rPr>
          <w:rFonts w:ascii="Aptos" w:eastAsia="Arial" w:hAnsi="Aptos" w:cstheme="majorHAnsi"/>
          <w:sz w:val="24"/>
          <w:szCs w:val="24"/>
          <w:lang w:val="en-GB"/>
        </w:rPr>
        <w:t xml:space="preserve"> project is a 380 kV AC line connecting southern Bavaria to Austria. Spanning 156 km, it will increase cross-border capacity and ensure access to Austrian pumped-storage hydropower, with commissioning scheduled for 2030.</w:t>
      </w:r>
    </w:p>
    <w:p w14:paraId="10FBDD8D" w14:textId="295430DC" w:rsidR="00AF47E5" w:rsidRPr="00AF47E5" w:rsidRDefault="00AF47E5" w:rsidP="00AF47E5">
      <w:pPr>
        <w:spacing w:line="360" w:lineRule="auto"/>
        <w:ind w:firstLine="360"/>
        <w:jc w:val="both"/>
        <w:rPr>
          <w:rFonts w:ascii="Aptos" w:eastAsia="Arial" w:hAnsi="Aptos" w:cstheme="majorHAnsi"/>
          <w:sz w:val="24"/>
          <w:szCs w:val="24"/>
          <w:lang w:val="en-GB"/>
        </w:rPr>
      </w:pPr>
      <w:r w:rsidRPr="00AF47E5">
        <w:rPr>
          <w:rFonts w:ascii="Aptos" w:eastAsia="Arial" w:hAnsi="Aptos" w:cstheme="majorHAnsi"/>
          <w:sz w:val="24"/>
          <w:szCs w:val="24"/>
          <w:lang w:val="en-GB"/>
        </w:rPr>
        <w:t xml:space="preserve">Regarding the distribution system, Mr. </w:t>
      </w:r>
      <w:proofErr w:type="spellStart"/>
      <w:r w:rsidRPr="00AF47E5">
        <w:rPr>
          <w:rFonts w:ascii="Aptos" w:eastAsia="Arial" w:hAnsi="Aptos" w:cstheme="majorHAnsi"/>
          <w:sz w:val="24"/>
          <w:szCs w:val="24"/>
          <w:lang w:val="en-GB"/>
        </w:rPr>
        <w:t>Heyna</w:t>
      </w:r>
      <w:proofErr w:type="spellEnd"/>
      <w:r w:rsidRPr="00AF47E5">
        <w:rPr>
          <w:rFonts w:ascii="Aptos" w:eastAsia="Arial" w:hAnsi="Aptos" w:cstheme="majorHAnsi"/>
          <w:sz w:val="24"/>
          <w:szCs w:val="24"/>
          <w:lang w:val="en-GB"/>
        </w:rPr>
        <w:t xml:space="preserve"> described the shared use of grid connection points, a strategy to better utilize existing infrastructure. By allowing variable (e.g. wind, PV) and controllable producers, along with storage and sector coupling facilities, to share grid access, and given that wind and solar rarely peak simultaneously, grid connection points can be overbooked—up to 150–250% of their nominal capacity. This approach can raise average grid utilization from the current 13–33% to as much as 53%, while enabling better use of storage and overall system flexibility.</w:t>
      </w:r>
    </w:p>
    <w:p w14:paraId="296F2E69" w14:textId="77777777" w:rsidR="00AF47E5" w:rsidRPr="00AF47E5" w:rsidRDefault="00AF47E5" w:rsidP="00AF47E5">
      <w:pPr>
        <w:spacing w:line="360" w:lineRule="auto"/>
        <w:ind w:firstLine="360"/>
        <w:jc w:val="both"/>
        <w:rPr>
          <w:rFonts w:ascii="Aptos" w:eastAsia="Arial" w:hAnsi="Aptos" w:cstheme="majorHAnsi"/>
          <w:sz w:val="24"/>
          <w:szCs w:val="24"/>
          <w:lang w:val="en-GB"/>
        </w:rPr>
      </w:pPr>
      <w:r w:rsidRPr="00AF47E5">
        <w:rPr>
          <w:rFonts w:ascii="Aptos" w:eastAsia="Arial" w:hAnsi="Aptos" w:cstheme="majorHAnsi"/>
          <w:sz w:val="24"/>
          <w:szCs w:val="24"/>
          <w:lang w:val="en-GB"/>
        </w:rPr>
        <w:t>He also presented the feed-in socket model—a planning approach that defines grid feed-in points in advance, particularly in medium- and high-voltage networks. The goal is to simplify and accelerate connection processes, promote cost-effective and targeted siting of renewable energy systems, and align RES expansion with available grid capacity.</w:t>
      </w:r>
    </w:p>
    <w:p w14:paraId="70A8C4BA" w14:textId="38012317" w:rsidR="00811F19" w:rsidRPr="00811F19" w:rsidRDefault="009633E3" w:rsidP="00325B9A">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Irina Apostol (DYC) has offered to speak on behalf of Moldova</w:t>
      </w:r>
      <w:r w:rsidR="00811F19">
        <w:rPr>
          <w:rFonts w:ascii="Aptos" w:eastAsia="Arial" w:hAnsi="Aptos" w:cstheme="majorHAnsi"/>
          <w:sz w:val="24"/>
          <w:szCs w:val="24"/>
          <w:lang w:val="en-GB"/>
        </w:rPr>
        <w:t xml:space="preserve">. </w:t>
      </w:r>
      <w:r w:rsidR="00811F19" w:rsidRPr="00811F19">
        <w:rPr>
          <w:rFonts w:ascii="Aptos" w:eastAsia="Arial" w:hAnsi="Aptos" w:cstheme="majorHAnsi"/>
          <w:sz w:val="24"/>
          <w:szCs w:val="24"/>
          <w:lang w:val="en-GB"/>
        </w:rPr>
        <w:t>Moldova's installed RES capacity has increased more than eightfold over the past five years, primarily due to the post-Covid energy crisis and rising electricity prices. Photovoltaic systems now lead RES generation, followed by wind.</w:t>
      </w:r>
      <w:r w:rsidR="00811F19">
        <w:rPr>
          <w:rFonts w:ascii="Aptos" w:eastAsia="Arial" w:hAnsi="Aptos" w:cstheme="majorHAnsi"/>
          <w:sz w:val="24"/>
          <w:szCs w:val="24"/>
          <w:lang w:val="en-GB"/>
        </w:rPr>
        <w:t xml:space="preserve"> </w:t>
      </w:r>
      <w:r w:rsidR="00811F19" w:rsidRPr="00811F19">
        <w:rPr>
          <w:rFonts w:ascii="Aptos" w:eastAsia="Arial" w:hAnsi="Aptos" w:cstheme="majorHAnsi"/>
          <w:sz w:val="24"/>
          <w:szCs w:val="24"/>
          <w:lang w:val="en-GB"/>
        </w:rPr>
        <w:t xml:space="preserve">In 2024, Moldova transitioned from net metering to net billing for prosumers, due to grid limitations. A Fixed Prices support </w:t>
      </w:r>
      <w:r w:rsidR="00811F19" w:rsidRPr="00811F19">
        <w:rPr>
          <w:rFonts w:ascii="Aptos" w:eastAsia="Arial" w:hAnsi="Aptos" w:cstheme="majorHAnsi"/>
          <w:sz w:val="24"/>
          <w:szCs w:val="24"/>
          <w:lang w:val="en-GB"/>
        </w:rPr>
        <w:lastRenderedPageBreak/>
        <w:t>scheme was introduced in 2025 for large-scale RES projects, with tenders held for solar, biogas (over 1 MW), and wind (over 4 MW) capacities. These are expected to be commissioned in the coming years.</w:t>
      </w:r>
    </w:p>
    <w:p w14:paraId="158FFA00" w14:textId="77777777" w:rsidR="00811F19" w:rsidRPr="00811F19" w:rsidRDefault="00811F19" w:rsidP="00325B9A">
      <w:pPr>
        <w:spacing w:line="360" w:lineRule="auto"/>
        <w:ind w:firstLine="360"/>
        <w:jc w:val="both"/>
        <w:rPr>
          <w:rFonts w:ascii="Aptos" w:eastAsia="Arial" w:hAnsi="Aptos" w:cstheme="majorHAnsi"/>
          <w:sz w:val="24"/>
          <w:szCs w:val="24"/>
          <w:lang w:val="en-GB"/>
        </w:rPr>
      </w:pPr>
      <w:r w:rsidRPr="00811F19">
        <w:rPr>
          <w:rFonts w:ascii="Aptos" w:eastAsia="Arial" w:hAnsi="Aptos" w:cstheme="majorHAnsi"/>
          <w:sz w:val="24"/>
          <w:szCs w:val="24"/>
          <w:lang w:val="en-GB"/>
        </w:rPr>
        <w:t>Key infrastructure developments include three 400 kV cross-border transmission lines with Romania:</w:t>
      </w:r>
    </w:p>
    <w:p w14:paraId="4F76912A" w14:textId="77777777" w:rsidR="00811F19" w:rsidRPr="00811F19" w:rsidRDefault="00811F19" w:rsidP="00325B9A">
      <w:pPr>
        <w:spacing w:line="360" w:lineRule="auto"/>
        <w:ind w:firstLine="360"/>
        <w:jc w:val="both"/>
        <w:rPr>
          <w:rFonts w:ascii="Aptos" w:eastAsia="Arial" w:hAnsi="Aptos" w:cstheme="majorHAnsi"/>
          <w:sz w:val="24"/>
          <w:szCs w:val="24"/>
          <w:lang w:val="en-GB"/>
        </w:rPr>
      </w:pPr>
      <w:r w:rsidRPr="00811F19">
        <w:rPr>
          <w:rFonts w:ascii="Aptos" w:eastAsia="Arial" w:hAnsi="Aptos" w:cstheme="majorHAnsi"/>
          <w:sz w:val="24"/>
          <w:szCs w:val="24"/>
          <w:lang w:val="en-GB"/>
        </w:rPr>
        <w:t xml:space="preserve">– </w:t>
      </w:r>
      <w:proofErr w:type="spellStart"/>
      <w:r w:rsidRPr="00811F19">
        <w:rPr>
          <w:rFonts w:ascii="Aptos" w:eastAsia="Arial" w:hAnsi="Aptos" w:cstheme="majorHAnsi"/>
          <w:sz w:val="24"/>
          <w:szCs w:val="24"/>
          <w:lang w:val="en-GB"/>
        </w:rPr>
        <w:t>Vulcănești</w:t>
      </w:r>
      <w:proofErr w:type="spellEnd"/>
      <w:r w:rsidRPr="00811F19">
        <w:rPr>
          <w:rFonts w:ascii="Aptos" w:eastAsia="Arial" w:hAnsi="Aptos" w:cstheme="majorHAnsi"/>
          <w:sz w:val="24"/>
          <w:szCs w:val="24"/>
          <w:lang w:val="en-GB"/>
        </w:rPr>
        <w:t>–</w:t>
      </w:r>
      <w:proofErr w:type="spellStart"/>
      <w:r w:rsidRPr="00811F19">
        <w:rPr>
          <w:rFonts w:ascii="Aptos" w:eastAsia="Arial" w:hAnsi="Aptos" w:cstheme="majorHAnsi"/>
          <w:sz w:val="24"/>
          <w:szCs w:val="24"/>
          <w:lang w:val="en-GB"/>
        </w:rPr>
        <w:t>Chișinău</w:t>
      </w:r>
      <w:proofErr w:type="spellEnd"/>
      <w:r w:rsidRPr="00811F19">
        <w:rPr>
          <w:rFonts w:ascii="Aptos" w:eastAsia="Arial" w:hAnsi="Aptos" w:cstheme="majorHAnsi"/>
          <w:sz w:val="24"/>
          <w:szCs w:val="24"/>
          <w:lang w:val="en-GB"/>
        </w:rPr>
        <w:t xml:space="preserve"> (158 km), to be completed in 2025;</w:t>
      </w:r>
    </w:p>
    <w:p w14:paraId="12ABD6D2" w14:textId="77777777" w:rsidR="00811F19" w:rsidRPr="00811F19" w:rsidRDefault="00811F19" w:rsidP="00325B9A">
      <w:pPr>
        <w:spacing w:line="360" w:lineRule="auto"/>
        <w:ind w:firstLine="360"/>
        <w:jc w:val="both"/>
        <w:rPr>
          <w:rFonts w:ascii="Aptos" w:eastAsia="Arial" w:hAnsi="Aptos" w:cstheme="majorHAnsi"/>
          <w:sz w:val="24"/>
          <w:szCs w:val="24"/>
          <w:lang w:val="en-GB"/>
        </w:rPr>
      </w:pPr>
      <w:r w:rsidRPr="00811F19">
        <w:rPr>
          <w:rFonts w:ascii="Aptos" w:eastAsia="Arial" w:hAnsi="Aptos" w:cstheme="majorHAnsi"/>
          <w:sz w:val="24"/>
          <w:szCs w:val="24"/>
          <w:lang w:val="en-GB"/>
        </w:rPr>
        <w:t xml:space="preserve">– </w:t>
      </w:r>
      <w:proofErr w:type="spellStart"/>
      <w:r w:rsidRPr="00811F19">
        <w:rPr>
          <w:rFonts w:ascii="Aptos" w:eastAsia="Arial" w:hAnsi="Aptos" w:cstheme="majorHAnsi"/>
          <w:sz w:val="24"/>
          <w:szCs w:val="24"/>
          <w:lang w:val="en-GB"/>
        </w:rPr>
        <w:t>Bălți</w:t>
      </w:r>
      <w:proofErr w:type="spellEnd"/>
      <w:r w:rsidRPr="00811F19">
        <w:rPr>
          <w:rFonts w:ascii="Aptos" w:eastAsia="Arial" w:hAnsi="Aptos" w:cstheme="majorHAnsi"/>
          <w:sz w:val="24"/>
          <w:szCs w:val="24"/>
          <w:lang w:val="en-GB"/>
        </w:rPr>
        <w:t>–Suceava (138 km), currently in tendering;</w:t>
      </w:r>
    </w:p>
    <w:p w14:paraId="655CF29B" w14:textId="77777777" w:rsidR="00811F19" w:rsidRPr="00811F19" w:rsidRDefault="00811F19" w:rsidP="00325B9A">
      <w:pPr>
        <w:spacing w:line="360" w:lineRule="auto"/>
        <w:ind w:firstLine="360"/>
        <w:jc w:val="both"/>
        <w:rPr>
          <w:rFonts w:ascii="Aptos" w:eastAsia="Arial" w:hAnsi="Aptos" w:cstheme="majorHAnsi"/>
          <w:sz w:val="24"/>
          <w:szCs w:val="24"/>
          <w:lang w:val="en-GB"/>
        </w:rPr>
      </w:pPr>
      <w:r w:rsidRPr="00811F19">
        <w:rPr>
          <w:rFonts w:ascii="Aptos" w:eastAsia="Arial" w:hAnsi="Aptos" w:cstheme="majorHAnsi"/>
          <w:sz w:val="24"/>
          <w:szCs w:val="24"/>
          <w:lang w:val="en-GB"/>
        </w:rPr>
        <w:t>– Strășeni–Gutinaș (190 km), in feasibility stage.</w:t>
      </w:r>
    </w:p>
    <w:p w14:paraId="7E593FF7" w14:textId="6E83EAAD" w:rsidR="00811F19" w:rsidRDefault="00811F19" w:rsidP="00325B9A">
      <w:pPr>
        <w:spacing w:line="360" w:lineRule="auto"/>
        <w:ind w:firstLine="360"/>
        <w:jc w:val="both"/>
        <w:rPr>
          <w:rFonts w:ascii="Aptos" w:eastAsia="Arial" w:hAnsi="Aptos" w:cstheme="majorHAnsi"/>
          <w:sz w:val="24"/>
          <w:szCs w:val="24"/>
          <w:lang w:val="en-GB"/>
        </w:rPr>
      </w:pPr>
      <w:r w:rsidRPr="00811F19">
        <w:rPr>
          <w:rFonts w:ascii="Aptos" w:eastAsia="Arial" w:hAnsi="Aptos" w:cstheme="majorHAnsi"/>
          <w:sz w:val="24"/>
          <w:szCs w:val="24"/>
          <w:lang w:val="en-GB"/>
        </w:rPr>
        <w:t>These projects aim to connect Moldova to the EU electricity market and enhance grid stability.</w:t>
      </w:r>
      <w:r w:rsidR="00325B9A">
        <w:rPr>
          <w:rFonts w:ascii="Aptos" w:eastAsia="Arial" w:hAnsi="Aptos" w:cstheme="majorHAnsi"/>
          <w:sz w:val="24"/>
          <w:szCs w:val="24"/>
          <w:lang w:val="en-GB"/>
        </w:rPr>
        <w:t xml:space="preserve"> </w:t>
      </w:r>
      <w:r w:rsidRPr="00811F19">
        <w:rPr>
          <w:rFonts w:ascii="Aptos" w:eastAsia="Arial" w:hAnsi="Aptos" w:cstheme="majorHAnsi"/>
          <w:sz w:val="24"/>
          <w:szCs w:val="24"/>
          <w:lang w:val="en-GB"/>
        </w:rPr>
        <w:t xml:space="preserve">Additional plans include construction of 225 MW in small internal combustion plants, two 55 MW cogeneration plants, and a new facility to replace CET-2 (&gt;250 MW). To meet the 2030 goal of 30% RES in final consumption, Moldova is developing further PV capacity, including large plants in </w:t>
      </w:r>
      <w:proofErr w:type="spellStart"/>
      <w:r w:rsidRPr="00811F19">
        <w:rPr>
          <w:rFonts w:ascii="Aptos" w:eastAsia="Arial" w:hAnsi="Aptos" w:cstheme="majorHAnsi"/>
          <w:sz w:val="24"/>
          <w:szCs w:val="24"/>
          <w:lang w:val="en-GB"/>
        </w:rPr>
        <w:t>Telenești</w:t>
      </w:r>
      <w:proofErr w:type="spellEnd"/>
      <w:r w:rsidRPr="00811F19">
        <w:rPr>
          <w:rFonts w:ascii="Aptos" w:eastAsia="Arial" w:hAnsi="Aptos" w:cstheme="majorHAnsi"/>
          <w:sz w:val="24"/>
          <w:szCs w:val="24"/>
          <w:lang w:val="en-GB"/>
        </w:rPr>
        <w:t xml:space="preserve"> and </w:t>
      </w:r>
      <w:proofErr w:type="spellStart"/>
      <w:r w:rsidRPr="00811F19">
        <w:rPr>
          <w:rFonts w:ascii="Aptos" w:eastAsia="Arial" w:hAnsi="Aptos" w:cstheme="majorHAnsi"/>
          <w:sz w:val="24"/>
          <w:szCs w:val="24"/>
          <w:lang w:val="en-GB"/>
        </w:rPr>
        <w:t>Strășeni</w:t>
      </w:r>
      <w:proofErr w:type="spellEnd"/>
      <w:r w:rsidRPr="00811F19">
        <w:rPr>
          <w:rFonts w:ascii="Aptos" w:eastAsia="Arial" w:hAnsi="Aptos" w:cstheme="majorHAnsi"/>
          <w:sz w:val="24"/>
          <w:szCs w:val="24"/>
          <w:lang w:val="en-GB"/>
        </w:rPr>
        <w:t>.</w:t>
      </w:r>
    </w:p>
    <w:p w14:paraId="3D571DE8" w14:textId="51315872" w:rsidR="00CB0F4B" w:rsidRPr="00CB0F4B" w:rsidRDefault="00CB0F4B" w:rsidP="00325B9A">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Mr. Kovessi</w:t>
      </w:r>
      <w:r w:rsidRPr="00CB0F4B">
        <w:rPr>
          <w:rFonts w:ascii="Aptos" w:eastAsia="Arial" w:hAnsi="Aptos" w:cstheme="majorHAnsi"/>
          <w:sz w:val="24"/>
          <w:szCs w:val="24"/>
          <w:lang w:val="en-GB"/>
        </w:rPr>
        <w:t>, the representative of Romania supported the need to</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expand and establish new interconnections between national electricity</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networks, as a basic measure for the standardization of offers on the energy</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markets in the region and the decrease in electricity prices in the EUSDR</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countries. The most important interconnection projects of Romania, in the</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 xml:space="preserve">field of electricity, with </w:t>
      </w:r>
      <w:proofErr w:type="spellStart"/>
      <w:r w:rsidRPr="00CB0F4B">
        <w:rPr>
          <w:rFonts w:ascii="Aptos" w:eastAsia="Arial" w:hAnsi="Aptos" w:cstheme="majorHAnsi"/>
          <w:sz w:val="24"/>
          <w:szCs w:val="24"/>
          <w:lang w:val="en-GB"/>
        </w:rPr>
        <w:t>neighboring</w:t>
      </w:r>
      <w:proofErr w:type="spellEnd"/>
      <w:r w:rsidRPr="00CB0F4B">
        <w:rPr>
          <w:rFonts w:ascii="Aptos" w:eastAsia="Arial" w:hAnsi="Aptos" w:cstheme="majorHAnsi"/>
          <w:sz w:val="24"/>
          <w:szCs w:val="24"/>
          <w:lang w:val="en-GB"/>
        </w:rPr>
        <w:t xml:space="preserve"> markets were presented, namely the</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High Voltage Direct Current (HVDC) Interconnector between Hungary and</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Romania; the Hungary-Romania electricity interconnection (400 kV OHL between</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Jozsa-Debrecen and Oradea); the Georgia-Romania submarine interconnection at</w:t>
      </w:r>
      <w:r>
        <w:rPr>
          <w:rFonts w:ascii="Aptos" w:eastAsia="Arial" w:hAnsi="Aptos" w:cstheme="majorHAnsi"/>
          <w:sz w:val="24"/>
          <w:szCs w:val="24"/>
          <w:lang w:val="en-GB"/>
        </w:rPr>
        <w:t xml:space="preserve"> </w:t>
      </w:r>
      <w:r w:rsidRPr="00CB0F4B">
        <w:rPr>
          <w:rFonts w:ascii="Aptos" w:eastAsia="Arial" w:hAnsi="Aptos" w:cstheme="majorHAnsi"/>
          <w:sz w:val="24"/>
          <w:szCs w:val="24"/>
          <w:lang w:val="en-GB"/>
        </w:rPr>
        <w:t>the Black Sea; and the North CSE Corridor: energy interconnection between</w:t>
      </w:r>
    </w:p>
    <w:p w14:paraId="553DFA56" w14:textId="77777777" w:rsidR="00325B9A" w:rsidRDefault="00CB0F4B" w:rsidP="009633E3">
      <w:pPr>
        <w:spacing w:line="360" w:lineRule="auto"/>
        <w:jc w:val="both"/>
        <w:rPr>
          <w:rFonts w:ascii="Aptos" w:eastAsia="Arial" w:hAnsi="Aptos" w:cstheme="majorHAnsi"/>
          <w:sz w:val="24"/>
          <w:szCs w:val="24"/>
          <w:lang w:val="en-GB"/>
        </w:rPr>
      </w:pPr>
      <w:r w:rsidRPr="00CB0F4B">
        <w:rPr>
          <w:rFonts w:ascii="Aptos" w:eastAsia="Arial" w:hAnsi="Aptos" w:cstheme="majorHAnsi"/>
          <w:sz w:val="24"/>
          <w:szCs w:val="24"/>
          <w:lang w:val="en-GB"/>
        </w:rPr>
        <w:t>Romania and Serbia.</w:t>
      </w:r>
    </w:p>
    <w:p w14:paraId="5863357D" w14:textId="28B3AB8F" w:rsidR="00325B9A" w:rsidRPr="00325B9A" w:rsidRDefault="00325B9A" w:rsidP="00325B9A">
      <w:pPr>
        <w:spacing w:line="360" w:lineRule="auto"/>
        <w:ind w:firstLine="708"/>
        <w:jc w:val="both"/>
        <w:rPr>
          <w:rFonts w:ascii="Aptos" w:eastAsia="Arial" w:hAnsi="Aptos" w:cstheme="majorHAnsi"/>
          <w:sz w:val="24"/>
          <w:szCs w:val="24"/>
          <w:highlight w:val="yellow"/>
          <w:lang w:val="en-GB"/>
        </w:rPr>
      </w:pPr>
      <w:r>
        <w:rPr>
          <w:rFonts w:ascii="Aptos" w:eastAsia="Arial" w:hAnsi="Aptos" w:cstheme="majorHAnsi"/>
          <w:sz w:val="24"/>
          <w:szCs w:val="24"/>
          <w:lang w:val="en-GB"/>
        </w:rPr>
        <w:t xml:space="preserve">Ms. </w:t>
      </w:r>
      <w:proofErr w:type="spellStart"/>
      <w:r>
        <w:rPr>
          <w:rFonts w:ascii="Aptos" w:eastAsia="Arial" w:hAnsi="Aptos" w:cstheme="majorHAnsi"/>
          <w:sz w:val="24"/>
          <w:szCs w:val="24"/>
          <w:lang w:val="en-GB"/>
        </w:rPr>
        <w:t>Bogdányová</w:t>
      </w:r>
      <w:proofErr w:type="spellEnd"/>
      <w:r>
        <w:rPr>
          <w:rFonts w:ascii="Aptos" w:eastAsia="Arial" w:hAnsi="Aptos" w:cstheme="majorHAnsi"/>
          <w:sz w:val="24"/>
          <w:szCs w:val="24"/>
          <w:lang w:val="en-GB"/>
        </w:rPr>
        <w:t xml:space="preserve"> (SK)</w:t>
      </w:r>
      <w:r w:rsidRPr="00325B9A">
        <w:rPr>
          <w:rFonts w:ascii="Aptos" w:eastAsia="Arial" w:hAnsi="Aptos" w:cstheme="majorHAnsi"/>
          <w:sz w:val="24"/>
          <w:szCs w:val="24"/>
          <w:lang w:val="en-GB"/>
        </w:rPr>
        <w:t xml:space="preserve"> presented key electricity grid infrastructure developments supporting the integration of renewable energy sources (RES). Ongoing projects include the new 400 kV interconnection </w:t>
      </w:r>
      <w:proofErr w:type="spellStart"/>
      <w:r w:rsidRPr="00325B9A">
        <w:rPr>
          <w:rFonts w:ascii="Aptos" w:eastAsia="Arial" w:hAnsi="Aptos" w:cstheme="majorHAnsi"/>
          <w:sz w:val="24"/>
          <w:szCs w:val="24"/>
          <w:lang w:val="en-GB"/>
        </w:rPr>
        <w:t>Veľký</w:t>
      </w:r>
      <w:proofErr w:type="spellEnd"/>
      <w:r w:rsidRPr="00325B9A">
        <w:rPr>
          <w:rFonts w:ascii="Aptos" w:eastAsia="Arial" w:hAnsi="Aptos" w:cstheme="majorHAnsi"/>
          <w:sz w:val="24"/>
          <w:szCs w:val="24"/>
          <w:lang w:val="en-GB"/>
        </w:rPr>
        <w:t xml:space="preserve"> </w:t>
      </w:r>
      <w:proofErr w:type="spellStart"/>
      <w:r w:rsidRPr="00325B9A">
        <w:rPr>
          <w:rFonts w:ascii="Aptos" w:eastAsia="Arial" w:hAnsi="Aptos" w:cstheme="majorHAnsi"/>
          <w:sz w:val="24"/>
          <w:szCs w:val="24"/>
          <w:lang w:val="en-GB"/>
        </w:rPr>
        <w:t>Ďur</w:t>
      </w:r>
      <w:proofErr w:type="spellEnd"/>
      <w:r w:rsidRPr="00325B9A">
        <w:rPr>
          <w:rFonts w:ascii="Aptos" w:eastAsia="Arial" w:hAnsi="Aptos" w:cstheme="majorHAnsi"/>
          <w:sz w:val="24"/>
          <w:szCs w:val="24"/>
          <w:lang w:val="en-GB"/>
        </w:rPr>
        <w:t>–</w:t>
      </w:r>
      <w:proofErr w:type="spellStart"/>
      <w:r w:rsidRPr="00325B9A">
        <w:rPr>
          <w:rFonts w:ascii="Aptos" w:eastAsia="Arial" w:hAnsi="Aptos" w:cstheme="majorHAnsi"/>
          <w:sz w:val="24"/>
          <w:szCs w:val="24"/>
          <w:lang w:val="en-GB"/>
        </w:rPr>
        <w:t>Göd</w:t>
      </w:r>
      <w:proofErr w:type="spellEnd"/>
      <w:r w:rsidRPr="00325B9A">
        <w:rPr>
          <w:rFonts w:ascii="Aptos" w:eastAsia="Arial" w:hAnsi="Aptos" w:cstheme="majorHAnsi"/>
          <w:sz w:val="24"/>
          <w:szCs w:val="24"/>
          <w:lang w:val="en-GB"/>
        </w:rPr>
        <w:t xml:space="preserve"> (Hungary), the PCI Danube </w:t>
      </w:r>
      <w:proofErr w:type="spellStart"/>
      <w:r w:rsidRPr="00325B9A">
        <w:rPr>
          <w:rFonts w:ascii="Aptos" w:eastAsia="Arial" w:hAnsi="Aptos" w:cstheme="majorHAnsi"/>
          <w:sz w:val="24"/>
          <w:szCs w:val="24"/>
          <w:lang w:val="en-GB"/>
        </w:rPr>
        <w:t>InGrid</w:t>
      </w:r>
      <w:proofErr w:type="spellEnd"/>
      <w:r w:rsidRPr="00325B9A">
        <w:rPr>
          <w:rFonts w:ascii="Aptos" w:eastAsia="Arial" w:hAnsi="Aptos" w:cstheme="majorHAnsi"/>
          <w:sz w:val="24"/>
          <w:szCs w:val="24"/>
          <w:lang w:val="en-GB"/>
        </w:rPr>
        <w:t xml:space="preserve"> 1 project (new substation in </w:t>
      </w:r>
      <w:proofErr w:type="spellStart"/>
      <w:r w:rsidRPr="00325B9A">
        <w:rPr>
          <w:rFonts w:ascii="Aptos" w:eastAsia="Arial" w:hAnsi="Aptos" w:cstheme="majorHAnsi"/>
          <w:sz w:val="24"/>
          <w:szCs w:val="24"/>
          <w:lang w:val="en-GB"/>
        </w:rPr>
        <w:t>Vajnory</w:t>
      </w:r>
      <w:proofErr w:type="spellEnd"/>
      <w:r w:rsidRPr="00325B9A">
        <w:rPr>
          <w:rFonts w:ascii="Aptos" w:eastAsia="Arial" w:hAnsi="Aptos" w:cstheme="majorHAnsi"/>
          <w:sz w:val="24"/>
          <w:szCs w:val="24"/>
          <w:lang w:val="en-GB"/>
        </w:rPr>
        <w:t xml:space="preserve">), installation of compensation reactors, remote-control upgrades to 17 substations, and modernization efforts at key transformer stations (e.g. </w:t>
      </w:r>
      <w:proofErr w:type="spellStart"/>
      <w:r w:rsidRPr="00325B9A">
        <w:rPr>
          <w:rFonts w:ascii="Aptos" w:eastAsia="Arial" w:hAnsi="Aptos" w:cstheme="majorHAnsi"/>
          <w:sz w:val="24"/>
          <w:szCs w:val="24"/>
          <w:lang w:val="en-GB"/>
        </w:rPr>
        <w:t>Senica</w:t>
      </w:r>
      <w:proofErr w:type="spellEnd"/>
      <w:r w:rsidRPr="00325B9A">
        <w:rPr>
          <w:rFonts w:ascii="Aptos" w:eastAsia="Arial" w:hAnsi="Aptos" w:cstheme="majorHAnsi"/>
          <w:sz w:val="24"/>
          <w:szCs w:val="24"/>
          <w:lang w:val="en-GB"/>
        </w:rPr>
        <w:t xml:space="preserve">, </w:t>
      </w:r>
      <w:proofErr w:type="spellStart"/>
      <w:r w:rsidRPr="00325B9A">
        <w:rPr>
          <w:rFonts w:ascii="Aptos" w:eastAsia="Arial" w:hAnsi="Aptos" w:cstheme="majorHAnsi"/>
          <w:sz w:val="24"/>
          <w:szCs w:val="24"/>
          <w:lang w:val="en-GB"/>
        </w:rPr>
        <w:t>Ladce</w:t>
      </w:r>
      <w:proofErr w:type="spellEnd"/>
      <w:r w:rsidRPr="00325B9A">
        <w:rPr>
          <w:rFonts w:ascii="Aptos" w:eastAsia="Arial" w:hAnsi="Aptos" w:cstheme="majorHAnsi"/>
          <w:sz w:val="24"/>
          <w:szCs w:val="24"/>
          <w:lang w:val="en-GB"/>
        </w:rPr>
        <w:t xml:space="preserve">, </w:t>
      </w:r>
      <w:proofErr w:type="spellStart"/>
      <w:r w:rsidRPr="00325B9A">
        <w:rPr>
          <w:rFonts w:ascii="Aptos" w:eastAsia="Arial" w:hAnsi="Aptos" w:cstheme="majorHAnsi"/>
          <w:sz w:val="24"/>
          <w:szCs w:val="24"/>
          <w:lang w:val="en-GB"/>
        </w:rPr>
        <w:t>Levice</w:t>
      </w:r>
      <w:proofErr w:type="spellEnd"/>
      <w:r w:rsidRPr="00325B9A">
        <w:rPr>
          <w:rFonts w:ascii="Aptos" w:eastAsia="Arial" w:hAnsi="Aptos" w:cstheme="majorHAnsi"/>
          <w:sz w:val="24"/>
          <w:szCs w:val="24"/>
          <w:lang w:val="en-GB"/>
        </w:rPr>
        <w:t xml:space="preserve">). Planned actions focus on reinforcing the 400 kV backbone network, phasing out the 220 kV grid, enhancing cross-border connections with Austria and Ukraine, integrating balancing platforms (PICASSO and </w:t>
      </w:r>
      <w:r w:rsidRPr="00325B9A">
        <w:rPr>
          <w:rFonts w:ascii="Aptos" w:eastAsia="Arial" w:hAnsi="Aptos" w:cstheme="majorHAnsi"/>
          <w:sz w:val="24"/>
          <w:szCs w:val="24"/>
          <w:lang w:val="en-GB"/>
        </w:rPr>
        <w:lastRenderedPageBreak/>
        <w:t>MARI), and expanding compensation equipment to ensure grid stability as RES deployment increases.</w:t>
      </w:r>
    </w:p>
    <w:p w14:paraId="221550F5" w14:textId="7107E7A1" w:rsidR="00557845" w:rsidRDefault="00EF2447" w:rsidP="00325B9A">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 xml:space="preserve">HU PAC, Ms. </w:t>
      </w:r>
      <w:r w:rsidR="004D1D6B">
        <w:rPr>
          <w:rFonts w:ascii="Aptos" w:eastAsia="Arial" w:hAnsi="Aptos" w:cstheme="majorHAnsi"/>
          <w:sz w:val="24"/>
          <w:szCs w:val="24"/>
          <w:lang w:val="en-GB"/>
        </w:rPr>
        <w:t>Annamária Nádor</w:t>
      </w:r>
      <w:r>
        <w:rPr>
          <w:rFonts w:ascii="Aptos" w:eastAsia="Arial" w:hAnsi="Aptos" w:cstheme="majorHAnsi"/>
          <w:sz w:val="24"/>
          <w:szCs w:val="24"/>
          <w:lang w:val="en-GB"/>
        </w:rPr>
        <w:t>, then introduced Hungarian situation, which is being challenged by growing electricity demand because of battery production, transport electrification and the electrification of heating and cooling. Hungary, however, experiences an increase of renewable energy generation – from 5,5 GW of solar energy in 2023 to expected 12 GW in 2030. Big capacities are awaiting the connection to the grid. Hungary is also interconnected with all of its neighbouring countries, but further strengthening of interconnections with Slovakia, Slovenia and Romania is expected.</w:t>
      </w:r>
    </w:p>
    <w:p w14:paraId="07383342" w14:textId="0585490B" w:rsidR="004D1D6B" w:rsidRDefault="00EF2447" w:rsidP="00557845">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 xml:space="preserve">Last to add to the roundtable discussion, </w:t>
      </w:r>
      <w:r w:rsidR="004D1D6B">
        <w:rPr>
          <w:rFonts w:ascii="Aptos" w:eastAsia="Arial" w:hAnsi="Aptos" w:cstheme="majorHAnsi"/>
          <w:sz w:val="24"/>
          <w:szCs w:val="24"/>
          <w:lang w:val="en-GB"/>
        </w:rPr>
        <w:t>Tomáš Vondra (CZ)</w:t>
      </w:r>
      <w:r>
        <w:rPr>
          <w:rFonts w:ascii="Aptos" w:eastAsia="Arial" w:hAnsi="Aptos" w:cstheme="majorHAnsi"/>
          <w:sz w:val="24"/>
          <w:szCs w:val="24"/>
          <w:lang w:val="en-GB"/>
        </w:rPr>
        <w:t xml:space="preserve"> have introduced the </w:t>
      </w:r>
      <w:r w:rsidR="00557845">
        <w:rPr>
          <w:rFonts w:ascii="Aptos" w:eastAsia="Arial" w:hAnsi="Aptos" w:cstheme="majorHAnsi"/>
          <w:sz w:val="24"/>
          <w:szCs w:val="24"/>
          <w:lang w:val="en-GB"/>
        </w:rPr>
        <w:t>four PCI</w:t>
      </w:r>
      <w:r w:rsidR="00224439">
        <w:rPr>
          <w:rFonts w:ascii="Aptos" w:eastAsia="Arial" w:hAnsi="Aptos" w:cstheme="majorHAnsi"/>
          <w:sz w:val="24"/>
          <w:szCs w:val="24"/>
          <w:lang w:val="en-GB"/>
        </w:rPr>
        <w:t>s</w:t>
      </w:r>
      <w:r w:rsidR="00557845">
        <w:rPr>
          <w:rFonts w:ascii="Aptos" w:eastAsia="Arial" w:hAnsi="Aptos" w:cstheme="majorHAnsi"/>
          <w:sz w:val="24"/>
          <w:szCs w:val="24"/>
          <w:lang w:val="en-GB"/>
        </w:rPr>
        <w:t xml:space="preserve"> under development, out of which 4 are fully located in Czechia with the aim of strengthening the north-west to south-east connection, to further allow flows of renewable energy from Germany to Czechia Austria and Slovakia. 4</w:t>
      </w:r>
      <w:r w:rsidR="00557845" w:rsidRPr="00557845">
        <w:rPr>
          <w:rFonts w:ascii="Aptos" w:eastAsia="Arial" w:hAnsi="Aptos" w:cstheme="majorHAnsi"/>
          <w:sz w:val="24"/>
          <w:szCs w:val="24"/>
          <w:vertAlign w:val="superscript"/>
          <w:lang w:val="en-GB"/>
        </w:rPr>
        <w:t>th</w:t>
      </w:r>
      <w:r w:rsidR="00557845">
        <w:rPr>
          <w:rFonts w:ascii="Aptos" w:eastAsia="Arial" w:hAnsi="Aptos" w:cstheme="majorHAnsi"/>
          <w:sz w:val="24"/>
          <w:szCs w:val="24"/>
          <w:lang w:val="en-GB"/>
        </w:rPr>
        <w:t xml:space="preserve"> project is connecting Czechia and Slovakia, increasing the reliability of supply. The possibility of the buildup of new interconnections of Czechia with Poland, Germany and Austria is currently being researched.</w:t>
      </w:r>
    </w:p>
    <w:p w14:paraId="7EBAD74D" w14:textId="219EBBBB" w:rsidR="00557845" w:rsidRDefault="00557845" w:rsidP="00557845">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 xml:space="preserve">There are also two projects of interconnecting on the distribution system level. </w:t>
      </w:r>
      <w:proofErr w:type="spellStart"/>
      <w:r>
        <w:rPr>
          <w:rFonts w:ascii="Aptos" w:eastAsia="Arial" w:hAnsi="Aptos" w:cstheme="majorHAnsi"/>
          <w:sz w:val="24"/>
          <w:szCs w:val="24"/>
          <w:lang w:val="en-GB"/>
        </w:rPr>
        <w:t>Gabreta</w:t>
      </w:r>
      <w:proofErr w:type="spellEnd"/>
      <w:r>
        <w:rPr>
          <w:rFonts w:ascii="Aptos" w:eastAsia="Arial" w:hAnsi="Aptos" w:cstheme="majorHAnsi"/>
          <w:sz w:val="24"/>
          <w:szCs w:val="24"/>
          <w:lang w:val="en-GB"/>
        </w:rPr>
        <w:t xml:space="preserve"> – between </w:t>
      </w:r>
      <w:proofErr w:type="spellStart"/>
      <w:r>
        <w:rPr>
          <w:rFonts w:ascii="Aptos" w:eastAsia="Arial" w:hAnsi="Aptos" w:cstheme="majorHAnsi"/>
          <w:sz w:val="24"/>
          <w:szCs w:val="24"/>
          <w:lang w:val="en-GB"/>
        </w:rPr>
        <w:t>eg.d</w:t>
      </w:r>
      <w:proofErr w:type="spellEnd"/>
      <w:r>
        <w:rPr>
          <w:rFonts w:ascii="Aptos" w:eastAsia="Arial" w:hAnsi="Aptos" w:cstheme="majorHAnsi"/>
          <w:sz w:val="24"/>
          <w:szCs w:val="24"/>
          <w:lang w:val="en-GB"/>
        </w:rPr>
        <w:t xml:space="preserve"> (CZ) and </w:t>
      </w:r>
      <w:proofErr w:type="spellStart"/>
      <w:r>
        <w:rPr>
          <w:rFonts w:ascii="Aptos" w:eastAsia="Arial" w:hAnsi="Aptos" w:cstheme="majorHAnsi"/>
          <w:sz w:val="24"/>
          <w:szCs w:val="24"/>
          <w:lang w:val="en-GB"/>
        </w:rPr>
        <w:t>Bayernwerk</w:t>
      </w:r>
      <w:proofErr w:type="spellEnd"/>
      <w:r>
        <w:rPr>
          <w:rFonts w:ascii="Aptos" w:eastAsia="Arial" w:hAnsi="Aptos" w:cstheme="majorHAnsi"/>
          <w:sz w:val="24"/>
          <w:szCs w:val="24"/>
          <w:lang w:val="en-GB"/>
        </w:rPr>
        <w:t xml:space="preserve"> (DE). The project aims to increase the security of supply, digitalise and modernise and optimise the grid. The project have started in 2023 and shall be finished in 2030, allowing the grid to be steered digitally.</w:t>
      </w:r>
    </w:p>
    <w:p w14:paraId="07F32981" w14:textId="2C990B33" w:rsidR="00557845" w:rsidRPr="009633E3" w:rsidRDefault="00557845" w:rsidP="00FA2CA2">
      <w:pPr>
        <w:spacing w:line="360" w:lineRule="auto"/>
        <w:ind w:firstLine="708"/>
        <w:jc w:val="both"/>
        <w:rPr>
          <w:rFonts w:ascii="Aptos" w:eastAsia="Arial" w:hAnsi="Aptos" w:cstheme="majorHAnsi"/>
          <w:sz w:val="24"/>
          <w:szCs w:val="24"/>
          <w:lang w:val="en-GB"/>
        </w:rPr>
      </w:pPr>
      <w:r>
        <w:rPr>
          <w:rFonts w:ascii="Aptos" w:eastAsia="Arial" w:hAnsi="Aptos" w:cstheme="majorHAnsi"/>
          <w:sz w:val="24"/>
          <w:szCs w:val="24"/>
          <w:lang w:val="en-GB"/>
        </w:rPr>
        <w:t>Second project is Selena, a project of 6 DSOs of Czechia, Slovakia and Hungary. This project is focused on grid modernisation and data digitalisation and sharing</w:t>
      </w:r>
      <w:r w:rsidR="00EC2E3D">
        <w:rPr>
          <w:rFonts w:ascii="Aptos" w:eastAsia="Arial" w:hAnsi="Aptos" w:cstheme="majorHAnsi"/>
          <w:sz w:val="24"/>
          <w:szCs w:val="24"/>
          <w:lang w:val="en-GB"/>
        </w:rPr>
        <w:t xml:space="preserve"> via common platform. The project also aims to increase the physical safety of the grid and includes the buildup of interconnection of ČEZ </w:t>
      </w:r>
      <w:proofErr w:type="spellStart"/>
      <w:r w:rsidR="00EC2E3D">
        <w:rPr>
          <w:rFonts w:ascii="Aptos" w:eastAsia="Arial" w:hAnsi="Aptos" w:cstheme="majorHAnsi"/>
          <w:sz w:val="24"/>
          <w:szCs w:val="24"/>
          <w:lang w:val="en-GB"/>
        </w:rPr>
        <w:t>Distribuce</w:t>
      </w:r>
      <w:proofErr w:type="spellEnd"/>
      <w:r w:rsidR="00FA2CA2">
        <w:rPr>
          <w:rFonts w:ascii="Aptos" w:eastAsia="Arial" w:hAnsi="Aptos" w:cstheme="majorHAnsi"/>
          <w:sz w:val="24"/>
          <w:szCs w:val="24"/>
          <w:lang w:val="en-GB"/>
        </w:rPr>
        <w:t xml:space="preserve"> (CZ)</w:t>
      </w:r>
      <w:r w:rsidR="00EC2E3D">
        <w:rPr>
          <w:rFonts w:ascii="Aptos" w:eastAsia="Arial" w:hAnsi="Aptos" w:cstheme="majorHAnsi"/>
          <w:sz w:val="24"/>
          <w:szCs w:val="24"/>
          <w:lang w:val="en-GB"/>
        </w:rPr>
        <w:t xml:space="preserve"> grid and </w:t>
      </w:r>
      <w:proofErr w:type="spellStart"/>
      <w:r w:rsidR="00EC2E3D">
        <w:rPr>
          <w:rFonts w:ascii="Aptos" w:eastAsia="Arial" w:hAnsi="Aptos" w:cstheme="majorHAnsi"/>
          <w:sz w:val="24"/>
          <w:szCs w:val="24"/>
          <w:lang w:val="en-GB"/>
        </w:rPr>
        <w:t>Stredoslovenská</w:t>
      </w:r>
      <w:proofErr w:type="spellEnd"/>
      <w:r w:rsidR="00EC2E3D">
        <w:rPr>
          <w:rFonts w:ascii="Aptos" w:eastAsia="Arial" w:hAnsi="Aptos" w:cstheme="majorHAnsi"/>
          <w:sz w:val="24"/>
          <w:szCs w:val="24"/>
          <w:lang w:val="en-GB"/>
        </w:rPr>
        <w:t xml:space="preserve"> </w:t>
      </w:r>
      <w:proofErr w:type="spellStart"/>
      <w:r w:rsidR="00EC2E3D">
        <w:rPr>
          <w:rFonts w:ascii="Aptos" w:eastAsia="Arial" w:hAnsi="Aptos" w:cstheme="majorHAnsi"/>
          <w:sz w:val="24"/>
          <w:szCs w:val="24"/>
          <w:lang w:val="en-GB"/>
        </w:rPr>
        <w:t>distribučná</w:t>
      </w:r>
      <w:proofErr w:type="spellEnd"/>
      <w:r w:rsidR="00FA2CA2">
        <w:rPr>
          <w:rFonts w:ascii="Aptos" w:eastAsia="Arial" w:hAnsi="Aptos" w:cstheme="majorHAnsi"/>
          <w:sz w:val="24"/>
          <w:szCs w:val="24"/>
          <w:lang w:val="en-GB"/>
        </w:rPr>
        <w:t xml:space="preserve"> (SK)</w:t>
      </w:r>
      <w:r w:rsidR="00EC2E3D">
        <w:rPr>
          <w:rFonts w:ascii="Aptos" w:eastAsia="Arial" w:hAnsi="Aptos" w:cstheme="majorHAnsi"/>
          <w:sz w:val="24"/>
          <w:szCs w:val="24"/>
          <w:lang w:val="en-GB"/>
        </w:rPr>
        <w:t xml:space="preserve"> grid.</w:t>
      </w:r>
      <w:r w:rsidR="00FA2CA2">
        <w:rPr>
          <w:rFonts w:ascii="Aptos" w:eastAsia="Arial" w:hAnsi="Aptos" w:cstheme="majorHAnsi"/>
          <w:sz w:val="24"/>
          <w:szCs w:val="24"/>
          <w:lang w:val="en-GB"/>
        </w:rPr>
        <w:t xml:space="preserve"> The possible start should happen in 2027 and end in 2030.</w:t>
      </w:r>
    </w:p>
    <w:p w14:paraId="0066B372" w14:textId="77777777" w:rsidR="00F0106B" w:rsidRDefault="00F0106B" w:rsidP="0040127F">
      <w:pPr>
        <w:spacing w:line="360" w:lineRule="auto"/>
        <w:jc w:val="both"/>
        <w:rPr>
          <w:rFonts w:ascii="Aptos" w:eastAsia="Arial" w:hAnsi="Aptos" w:cstheme="majorHAnsi"/>
          <w:b/>
          <w:bCs/>
          <w:sz w:val="24"/>
          <w:szCs w:val="24"/>
          <w:lang w:val="en-GB"/>
        </w:rPr>
      </w:pPr>
    </w:p>
    <w:p w14:paraId="36BCC379" w14:textId="5B5789C0" w:rsidR="0040127F" w:rsidRPr="0040127F" w:rsidRDefault="0040127F" w:rsidP="0040127F">
      <w:pPr>
        <w:spacing w:line="360" w:lineRule="auto"/>
        <w:jc w:val="both"/>
        <w:rPr>
          <w:rFonts w:ascii="Aptos" w:eastAsia="Arial" w:hAnsi="Aptos" w:cstheme="majorHAnsi"/>
          <w:b/>
          <w:bCs/>
          <w:sz w:val="24"/>
          <w:szCs w:val="24"/>
          <w:lang w:val="en-GB"/>
        </w:rPr>
      </w:pPr>
      <w:r w:rsidRPr="0040127F">
        <w:rPr>
          <w:rFonts w:ascii="Aptos" w:eastAsia="Arial" w:hAnsi="Aptos" w:cstheme="majorHAnsi"/>
          <w:b/>
          <w:bCs/>
          <w:sz w:val="24"/>
          <w:szCs w:val="24"/>
          <w:lang w:val="en-GB"/>
        </w:rPr>
        <w:t>COFFEE BREAK</w:t>
      </w:r>
    </w:p>
    <w:p w14:paraId="71DC0E6F" w14:textId="77777777" w:rsidR="0040127F" w:rsidRPr="0040127F" w:rsidRDefault="0040127F" w:rsidP="0040127F">
      <w:pPr>
        <w:spacing w:line="360" w:lineRule="auto"/>
        <w:jc w:val="both"/>
        <w:rPr>
          <w:rFonts w:ascii="Aptos" w:eastAsia="Arial" w:hAnsi="Aptos" w:cstheme="majorHAnsi"/>
          <w:sz w:val="24"/>
          <w:szCs w:val="24"/>
          <w:lang w:val="en-GB"/>
        </w:rPr>
      </w:pPr>
    </w:p>
    <w:p w14:paraId="0A63501E" w14:textId="53DC801B" w:rsidR="00E73E95" w:rsidRPr="00FA2CA2" w:rsidRDefault="0040127F" w:rsidP="0040127F">
      <w:pPr>
        <w:pStyle w:val="Odstavecseseznamem"/>
        <w:numPr>
          <w:ilvl w:val="0"/>
          <w:numId w:val="2"/>
        </w:numPr>
        <w:spacing w:line="360" w:lineRule="auto"/>
        <w:jc w:val="both"/>
        <w:rPr>
          <w:rFonts w:ascii="Aptos" w:eastAsia="Arial" w:hAnsi="Aptos" w:cstheme="majorHAnsi"/>
          <w:sz w:val="24"/>
          <w:szCs w:val="24"/>
          <w:lang w:val="en-GB"/>
        </w:rPr>
      </w:pPr>
      <w:r w:rsidRPr="0040127F">
        <w:rPr>
          <w:rFonts w:ascii="Aptos" w:eastAsia="Arial" w:hAnsi="Aptos" w:cstheme="majorHAnsi"/>
          <w:b/>
          <w:bCs/>
          <w:sz w:val="24"/>
          <w:szCs w:val="24"/>
          <w:lang w:val="en-GB"/>
        </w:rPr>
        <w:t>2025 PA2 Danube Strategy Flagships selection</w:t>
      </w:r>
    </w:p>
    <w:p w14:paraId="101448A8" w14:textId="17DA258D" w:rsidR="00FA2CA2" w:rsidRDefault="00FA2CA2" w:rsidP="00FA2CA2">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 xml:space="preserve">After the coffee break, the Steering Group have discussed the Danube Strategy Flagships selection for 2025.  Tomáš Vondra, on behalf of the PAC team, has proposed </w:t>
      </w:r>
      <w:r>
        <w:rPr>
          <w:rFonts w:ascii="Aptos" w:eastAsia="Arial" w:hAnsi="Aptos" w:cstheme="majorHAnsi"/>
          <w:sz w:val="24"/>
          <w:szCs w:val="24"/>
          <w:lang w:val="en-GB"/>
        </w:rPr>
        <w:lastRenderedPageBreak/>
        <w:t>to keep the first two flagships</w:t>
      </w:r>
      <w:r w:rsidR="00F560CE">
        <w:rPr>
          <w:rFonts w:ascii="Aptos" w:eastAsia="Arial" w:hAnsi="Aptos" w:cstheme="majorHAnsi"/>
          <w:sz w:val="24"/>
          <w:szCs w:val="24"/>
          <w:lang w:val="en-GB"/>
        </w:rPr>
        <w:t xml:space="preserve"> (</w:t>
      </w:r>
      <w:r w:rsidR="00F560CE" w:rsidRPr="00F560CE">
        <w:rPr>
          <w:rFonts w:ascii="Aptos" w:eastAsia="Arial" w:hAnsi="Aptos" w:cstheme="majorHAnsi"/>
          <w:sz w:val="24"/>
          <w:szCs w:val="24"/>
          <w:lang w:val="en-GB"/>
        </w:rPr>
        <w:t>Diversification of Gas Supply in the EUSDR</w:t>
      </w:r>
      <w:r w:rsidR="00F560CE">
        <w:rPr>
          <w:rFonts w:ascii="Aptos" w:eastAsia="Arial" w:hAnsi="Aptos" w:cstheme="majorHAnsi"/>
          <w:sz w:val="24"/>
          <w:szCs w:val="24"/>
          <w:lang w:val="en-GB"/>
        </w:rPr>
        <w:t xml:space="preserve"> and</w:t>
      </w:r>
      <w:r w:rsidR="00F560CE" w:rsidRPr="00F560CE">
        <w:rPr>
          <w:rFonts w:ascii="Aptos" w:eastAsia="Arial" w:hAnsi="Aptos" w:cstheme="majorHAnsi"/>
          <w:sz w:val="24"/>
          <w:szCs w:val="24"/>
          <w:lang w:val="en-GB"/>
        </w:rPr>
        <w:t xml:space="preserve"> Enhancing the Hydrogen economy in the EUSDR</w:t>
      </w:r>
      <w:r w:rsidR="00F560CE">
        <w:rPr>
          <w:rFonts w:ascii="Aptos" w:eastAsia="Arial" w:hAnsi="Aptos" w:cstheme="majorHAnsi"/>
          <w:sz w:val="24"/>
          <w:szCs w:val="24"/>
          <w:lang w:val="en-GB"/>
        </w:rPr>
        <w:t xml:space="preserve">) </w:t>
      </w:r>
      <w:r>
        <w:rPr>
          <w:rFonts w:ascii="Aptos" w:eastAsia="Arial" w:hAnsi="Aptos" w:cstheme="majorHAnsi"/>
          <w:sz w:val="24"/>
          <w:szCs w:val="24"/>
          <w:lang w:val="en-GB"/>
        </w:rPr>
        <w:t>as they are, and change the third one in a more specific way</w:t>
      </w:r>
      <w:r w:rsidR="00F560CE">
        <w:rPr>
          <w:rFonts w:ascii="Aptos" w:eastAsia="Arial" w:hAnsi="Aptos" w:cstheme="majorHAnsi"/>
          <w:sz w:val="24"/>
          <w:szCs w:val="24"/>
          <w:lang w:val="en-GB"/>
        </w:rPr>
        <w:t xml:space="preserve"> – change the flagship from the process to specific project – NRGCOM.</w:t>
      </w:r>
    </w:p>
    <w:p w14:paraId="5DDDDD12" w14:textId="36F1A686" w:rsidR="00F560CE" w:rsidRDefault="00F560CE" w:rsidP="00FA2CA2">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HU PAC Annamária Nádor have asked to show the NRGCOM project website and shortly presented the proposed change. While acknowledging the flagship’s importance (</w:t>
      </w:r>
      <w:r w:rsidRPr="00F560CE">
        <w:rPr>
          <w:rFonts w:ascii="Aptos" w:eastAsia="Arial" w:hAnsi="Aptos" w:cstheme="majorHAnsi"/>
          <w:sz w:val="24"/>
          <w:szCs w:val="24"/>
          <w:lang w:val="en-GB"/>
        </w:rPr>
        <w:t>Promote Local Low-Carbon Energy Actions in the EUSDR</w:t>
      </w:r>
      <w:r>
        <w:rPr>
          <w:rFonts w:ascii="Aptos" w:eastAsia="Arial" w:hAnsi="Aptos" w:cstheme="majorHAnsi"/>
          <w:sz w:val="24"/>
          <w:szCs w:val="24"/>
          <w:lang w:val="en-GB"/>
        </w:rPr>
        <w:t>), Ms. Nádor has explained, that to certificate NRGCOM with the EUSDR flagship certification would further increase the visibility of the project and the whole topic.</w:t>
      </w:r>
    </w:p>
    <w:p w14:paraId="3ED9EA4F" w14:textId="473E7444" w:rsidR="00F560CE" w:rsidRPr="00FA2CA2" w:rsidRDefault="00F560CE" w:rsidP="00FA2CA2">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After the introduction, Tomáš Vondra has proposed to vote on the change by silent procedure in place, and as the silence was not broken, the proposed change was accepted by the Steering Group.</w:t>
      </w:r>
    </w:p>
    <w:p w14:paraId="76D06CE2" w14:textId="77777777" w:rsidR="004E3743" w:rsidRPr="00B04446" w:rsidRDefault="004E3743" w:rsidP="000D0E68">
      <w:pPr>
        <w:spacing w:line="360" w:lineRule="auto"/>
        <w:jc w:val="both"/>
        <w:rPr>
          <w:rFonts w:ascii="Aptos" w:eastAsia="Arial" w:hAnsi="Aptos" w:cstheme="majorHAnsi"/>
          <w:sz w:val="24"/>
          <w:szCs w:val="24"/>
          <w:lang w:val="en-GB"/>
        </w:rPr>
      </w:pPr>
    </w:p>
    <w:p w14:paraId="672C1EBA" w14:textId="77777777" w:rsidR="00CB5D09" w:rsidRDefault="0040127F" w:rsidP="00CB5D09">
      <w:pPr>
        <w:pStyle w:val="Odstavecseseznamem"/>
        <w:numPr>
          <w:ilvl w:val="0"/>
          <w:numId w:val="2"/>
        </w:numPr>
        <w:spacing w:line="360" w:lineRule="auto"/>
        <w:jc w:val="both"/>
        <w:rPr>
          <w:rFonts w:ascii="Aptos" w:eastAsia="Arial" w:hAnsi="Aptos" w:cstheme="majorHAnsi"/>
          <w:b/>
          <w:bCs/>
          <w:sz w:val="24"/>
          <w:szCs w:val="24"/>
          <w:lang w:val="en-GB"/>
        </w:rPr>
      </w:pPr>
      <w:r w:rsidRPr="0040127F">
        <w:rPr>
          <w:rFonts w:ascii="Aptos" w:eastAsia="Arial" w:hAnsi="Aptos" w:cstheme="majorHAnsi"/>
          <w:b/>
          <w:bCs/>
          <w:sz w:val="24"/>
          <w:szCs w:val="24"/>
          <w:lang w:val="en-GB"/>
        </w:rPr>
        <w:t xml:space="preserve">State of play, European Commission  </w:t>
      </w:r>
    </w:p>
    <w:p w14:paraId="2C1D1816" w14:textId="77777777" w:rsidR="00325B9A" w:rsidRPr="00325B9A" w:rsidRDefault="00325B9A" w:rsidP="00325B9A">
      <w:pPr>
        <w:spacing w:line="360" w:lineRule="auto"/>
        <w:ind w:firstLine="360"/>
        <w:jc w:val="both"/>
        <w:rPr>
          <w:rFonts w:ascii="Aptos" w:eastAsia="Arial" w:hAnsi="Aptos" w:cstheme="majorHAnsi"/>
          <w:sz w:val="24"/>
          <w:szCs w:val="24"/>
          <w:lang w:val="en-GB"/>
        </w:rPr>
      </w:pPr>
      <w:r w:rsidRPr="00325B9A">
        <w:rPr>
          <w:rFonts w:ascii="Aptos" w:eastAsia="Arial" w:hAnsi="Aptos" w:cstheme="majorHAnsi"/>
          <w:sz w:val="24"/>
          <w:szCs w:val="24"/>
          <w:lang w:val="en-GB"/>
        </w:rPr>
        <w:t>Mr. Johan Magnusson (DG REGIO) informed the SG that the Commission has been reviewing the future of Interreg for nearly two years. Findings from a wide consultation—engaging 86 programmes, key stakeholders, and, for the first time, citizens—were presented at the Interreg GO! event in March 2025 in Gorizia/Nova Gorica. While details on the next Multiannual Financial Framework (MFF) will only be available with the Commission’s proposals expected in mid-July, the February roadmap already suggests key directions: a more focused, simpler, higher-impact, and flexible EU budget.</w:t>
      </w:r>
    </w:p>
    <w:p w14:paraId="7331D01E" w14:textId="77777777" w:rsidR="00325B9A" w:rsidRPr="00325B9A" w:rsidRDefault="00325B9A" w:rsidP="00325B9A">
      <w:pPr>
        <w:spacing w:line="360" w:lineRule="auto"/>
        <w:ind w:firstLine="360"/>
        <w:jc w:val="both"/>
        <w:rPr>
          <w:rFonts w:ascii="Aptos" w:eastAsia="Arial" w:hAnsi="Aptos" w:cstheme="majorHAnsi"/>
          <w:sz w:val="24"/>
          <w:szCs w:val="24"/>
          <w:lang w:val="en-GB"/>
        </w:rPr>
      </w:pPr>
      <w:r w:rsidRPr="00325B9A">
        <w:rPr>
          <w:rFonts w:ascii="Aptos" w:eastAsia="Arial" w:hAnsi="Aptos" w:cstheme="majorHAnsi"/>
          <w:sz w:val="24"/>
          <w:szCs w:val="24"/>
          <w:lang w:val="en-GB"/>
        </w:rPr>
        <w:t>He further noted that the biannual MRS implementing report, originally planned for December 2024, will be published on 13 May 2025. Submitted to the Council, European Parliament, Committee of the Regions, and EESC, this edition maintains the 2022 structure but places stronger emphasis on the long-term development of MRS and its role in supporting EU enlargement.</w:t>
      </w:r>
    </w:p>
    <w:p w14:paraId="605C4754" w14:textId="5909FDB7" w:rsidR="007B211D" w:rsidRPr="00F560CE" w:rsidRDefault="00325B9A" w:rsidP="00325B9A">
      <w:pPr>
        <w:spacing w:line="360" w:lineRule="auto"/>
        <w:ind w:firstLine="360"/>
        <w:jc w:val="both"/>
        <w:rPr>
          <w:rFonts w:ascii="Aptos" w:eastAsia="Arial" w:hAnsi="Aptos" w:cstheme="majorHAnsi"/>
          <w:sz w:val="24"/>
          <w:szCs w:val="24"/>
          <w:lang w:val="en-GB"/>
        </w:rPr>
      </w:pPr>
      <w:r w:rsidRPr="00325B9A">
        <w:rPr>
          <w:rFonts w:ascii="Aptos" w:eastAsia="Arial" w:hAnsi="Aptos" w:cstheme="majorHAnsi"/>
          <w:sz w:val="24"/>
          <w:szCs w:val="24"/>
          <w:lang w:val="en-GB"/>
        </w:rPr>
        <w:t>Mr. Magnusson also informed that the 2025 MRS-SBS Days will take place in Brussels on 24–25 September. The agenda includes five workshops, one of which will address energy topics with the involvement of PA2 of the Danube Strategy. The Commission will again organize a 'speed dating' format to facilitate direct exchanges between MRS stakeholders and various DGs.</w:t>
      </w:r>
    </w:p>
    <w:p w14:paraId="7891DAAB" w14:textId="77777777" w:rsidR="00F560CE" w:rsidRPr="0040127F" w:rsidRDefault="00F560CE" w:rsidP="00F560CE">
      <w:pPr>
        <w:spacing w:line="360" w:lineRule="auto"/>
        <w:ind w:left="360"/>
        <w:jc w:val="both"/>
        <w:rPr>
          <w:rFonts w:ascii="Aptos" w:eastAsia="Arial" w:hAnsi="Aptos" w:cstheme="majorHAnsi"/>
          <w:b/>
          <w:bCs/>
          <w:sz w:val="24"/>
          <w:szCs w:val="24"/>
          <w:lang w:val="en-GB"/>
        </w:rPr>
      </w:pPr>
    </w:p>
    <w:p w14:paraId="4BE4230F" w14:textId="3EBA14CE" w:rsidR="00B75A24" w:rsidRPr="00CB5D09" w:rsidRDefault="0040127F" w:rsidP="0040127F">
      <w:pPr>
        <w:pStyle w:val="Odstavecseseznamem"/>
        <w:numPr>
          <w:ilvl w:val="0"/>
          <w:numId w:val="2"/>
        </w:numPr>
        <w:spacing w:line="360" w:lineRule="auto"/>
        <w:jc w:val="both"/>
        <w:rPr>
          <w:rFonts w:ascii="Aptos" w:eastAsia="Arial" w:hAnsi="Aptos" w:cstheme="majorHAnsi"/>
          <w:sz w:val="24"/>
          <w:szCs w:val="24"/>
          <w:lang w:val="en-GB"/>
        </w:rPr>
      </w:pPr>
      <w:r w:rsidRPr="0040127F">
        <w:rPr>
          <w:rFonts w:ascii="Aptos" w:eastAsia="Arial" w:hAnsi="Aptos" w:cstheme="majorHAnsi"/>
          <w:b/>
          <w:bCs/>
          <w:sz w:val="24"/>
          <w:szCs w:val="24"/>
          <w:lang w:val="en-GB"/>
        </w:rPr>
        <w:lastRenderedPageBreak/>
        <w:t>DSP activities and EUSDR Governance discussions</w:t>
      </w:r>
    </w:p>
    <w:p w14:paraId="588C35D9" w14:textId="77777777" w:rsidR="00B92C33" w:rsidRPr="00B92C33" w:rsidRDefault="00B92C33" w:rsidP="001E2073">
      <w:pPr>
        <w:spacing w:line="360" w:lineRule="auto"/>
        <w:ind w:firstLine="360"/>
        <w:jc w:val="both"/>
        <w:rPr>
          <w:rFonts w:ascii="Aptos" w:eastAsia="Arial" w:hAnsi="Aptos" w:cstheme="majorHAnsi"/>
          <w:sz w:val="24"/>
          <w:szCs w:val="24"/>
          <w:lang w:val="en-GB"/>
        </w:rPr>
      </w:pPr>
      <w:r w:rsidRPr="00B92C33">
        <w:rPr>
          <w:rFonts w:ascii="Aptos" w:eastAsia="Arial" w:hAnsi="Aptos" w:cstheme="majorHAnsi"/>
          <w:sz w:val="24"/>
          <w:szCs w:val="24"/>
          <w:lang w:val="en-GB"/>
        </w:rPr>
        <w:t>The DSP activities were introduced by Ms. Nicole Hauder. In her intervention support to PA and cross PA support and support to EUSDR core stakeholders was mentioned including the EUSDR relevant EU funding calls. Ms. Hauder has also highlighted the new documents – EUSDR Implementation Report 2022-2023 which is available at the EUSDR website and ESUDR Process/Implementation Evaluation. Among the main additions, the EUSDR is appreciated for strengthening the region’s cohesion and support to the EU enlargement.</w:t>
      </w:r>
    </w:p>
    <w:p w14:paraId="15FAB8DA" w14:textId="77777777" w:rsidR="00B92C33" w:rsidRPr="00B92C33" w:rsidRDefault="00B92C33" w:rsidP="001E2073">
      <w:pPr>
        <w:spacing w:line="360" w:lineRule="auto"/>
        <w:ind w:firstLine="360"/>
        <w:jc w:val="both"/>
        <w:rPr>
          <w:rFonts w:ascii="Aptos" w:eastAsia="Arial" w:hAnsi="Aptos" w:cstheme="majorHAnsi"/>
          <w:sz w:val="24"/>
          <w:szCs w:val="24"/>
          <w:lang w:val="en-GB"/>
        </w:rPr>
      </w:pPr>
      <w:r w:rsidRPr="00B92C33">
        <w:rPr>
          <w:rFonts w:ascii="Aptos" w:eastAsia="Arial" w:hAnsi="Aptos" w:cstheme="majorHAnsi"/>
          <w:sz w:val="24"/>
          <w:szCs w:val="24"/>
          <w:lang w:val="en-GB"/>
        </w:rPr>
        <w:t>Further, the selection of Danube Strategy Flagships for 2025 is now ongoing among the PAs. The flagships shall be selected until the end of June and certificates will be issued in July/August. Some examples of possible promotion of the flagships were introduced – from the DSP it would be mostly social media promotion.</w:t>
      </w:r>
    </w:p>
    <w:p w14:paraId="4E922FB4" w14:textId="77777777" w:rsidR="00B92C33" w:rsidRPr="00B92C33" w:rsidRDefault="00B92C33" w:rsidP="00B92C33">
      <w:pPr>
        <w:spacing w:line="360" w:lineRule="auto"/>
        <w:jc w:val="both"/>
        <w:rPr>
          <w:rFonts w:ascii="Aptos" w:eastAsia="Arial" w:hAnsi="Aptos" w:cstheme="majorHAnsi"/>
          <w:sz w:val="24"/>
          <w:szCs w:val="24"/>
          <w:lang w:val="en-GB"/>
        </w:rPr>
      </w:pPr>
      <w:r w:rsidRPr="00B92C33">
        <w:rPr>
          <w:rFonts w:ascii="Aptos" w:eastAsia="Arial" w:hAnsi="Aptos" w:cstheme="majorHAnsi"/>
          <w:sz w:val="24"/>
          <w:szCs w:val="24"/>
          <w:lang w:val="en-GB"/>
        </w:rPr>
        <w:t xml:space="preserve">The DSP continues in its actions of updating the social media sites of EUSDR (Facebook, X, Instagram, </w:t>
      </w:r>
      <w:proofErr w:type="spellStart"/>
      <w:r w:rsidRPr="00B92C33">
        <w:rPr>
          <w:rFonts w:ascii="Aptos" w:eastAsia="Arial" w:hAnsi="Aptos" w:cstheme="majorHAnsi"/>
          <w:sz w:val="24"/>
          <w:szCs w:val="24"/>
          <w:lang w:val="en-GB"/>
        </w:rPr>
        <w:t>Bluesky</w:t>
      </w:r>
      <w:proofErr w:type="spellEnd"/>
      <w:r w:rsidRPr="00B92C33">
        <w:rPr>
          <w:rFonts w:ascii="Aptos" w:eastAsia="Arial" w:hAnsi="Aptos" w:cstheme="majorHAnsi"/>
          <w:sz w:val="24"/>
          <w:szCs w:val="24"/>
          <w:lang w:val="en-GB"/>
        </w:rPr>
        <w:t>) and the relaunch of the EUSDR website including the 12 PA sites was also mentioned.</w:t>
      </w:r>
    </w:p>
    <w:p w14:paraId="593CE22F" w14:textId="77777777" w:rsidR="00B92C33" w:rsidRPr="00B92C33" w:rsidRDefault="00B92C33" w:rsidP="001E2073">
      <w:pPr>
        <w:spacing w:line="360" w:lineRule="auto"/>
        <w:ind w:firstLine="708"/>
        <w:jc w:val="both"/>
        <w:rPr>
          <w:rFonts w:ascii="Aptos" w:eastAsia="Arial" w:hAnsi="Aptos" w:cstheme="majorHAnsi"/>
          <w:sz w:val="24"/>
          <w:szCs w:val="24"/>
          <w:lang w:val="en-GB"/>
        </w:rPr>
      </w:pPr>
      <w:r w:rsidRPr="00B92C33">
        <w:rPr>
          <w:rFonts w:ascii="Aptos" w:eastAsia="Arial" w:hAnsi="Aptos" w:cstheme="majorHAnsi"/>
          <w:sz w:val="24"/>
          <w:szCs w:val="24"/>
          <w:lang w:val="en-GB"/>
        </w:rPr>
        <w:t>The capacity building needs analysis have been done and according to the outcomes additional measures will be done – training sessions. These sessions were also introduced, two of them will happen in 2025 and they are Onboarding and Institutional Memory Consolidation (23.9.2025) and the Policy Analysis and Advocacy Skills (November 2025).</w:t>
      </w:r>
    </w:p>
    <w:p w14:paraId="14C80BFC" w14:textId="06C98A1B" w:rsidR="00325B9A" w:rsidRDefault="00B92C33" w:rsidP="001E2073">
      <w:pPr>
        <w:spacing w:line="360" w:lineRule="auto"/>
        <w:ind w:firstLine="360"/>
        <w:jc w:val="both"/>
        <w:rPr>
          <w:rFonts w:ascii="Aptos" w:eastAsia="Arial" w:hAnsi="Aptos" w:cstheme="majorHAnsi"/>
          <w:sz w:val="24"/>
          <w:szCs w:val="24"/>
          <w:lang w:val="en-GB"/>
        </w:rPr>
      </w:pPr>
      <w:r w:rsidRPr="00B92C33">
        <w:rPr>
          <w:rFonts w:ascii="Aptos" w:eastAsia="Arial" w:hAnsi="Aptos" w:cstheme="majorHAnsi"/>
          <w:sz w:val="24"/>
          <w:szCs w:val="24"/>
          <w:lang w:val="en-GB"/>
        </w:rPr>
        <w:t xml:space="preserve">Ms. Hauder has further introduced new changes in the DYC, which has 10 new members (for PA2 the new DYC member is </w:t>
      </w:r>
      <w:proofErr w:type="spellStart"/>
      <w:r w:rsidRPr="00B92C33">
        <w:rPr>
          <w:rFonts w:ascii="Aptos" w:eastAsia="Arial" w:hAnsi="Aptos" w:cstheme="majorHAnsi"/>
          <w:sz w:val="24"/>
          <w:szCs w:val="24"/>
          <w:lang w:val="en-GB"/>
        </w:rPr>
        <w:t>Sára</w:t>
      </w:r>
      <w:proofErr w:type="spellEnd"/>
      <w:r w:rsidRPr="00B92C33">
        <w:rPr>
          <w:rFonts w:ascii="Aptos" w:eastAsia="Arial" w:hAnsi="Aptos" w:cstheme="majorHAnsi"/>
          <w:sz w:val="24"/>
          <w:szCs w:val="24"/>
          <w:lang w:val="en-GB"/>
        </w:rPr>
        <w:t xml:space="preserve"> </w:t>
      </w:r>
      <w:proofErr w:type="spellStart"/>
      <w:r w:rsidRPr="00B92C33">
        <w:rPr>
          <w:rFonts w:ascii="Aptos" w:eastAsia="Arial" w:hAnsi="Aptos" w:cstheme="majorHAnsi"/>
          <w:sz w:val="24"/>
          <w:szCs w:val="24"/>
          <w:lang w:val="en-GB"/>
        </w:rPr>
        <w:t>Herianová</w:t>
      </w:r>
      <w:proofErr w:type="spellEnd"/>
      <w:r w:rsidRPr="00B92C33">
        <w:rPr>
          <w:rFonts w:ascii="Aptos" w:eastAsia="Arial" w:hAnsi="Aptos" w:cstheme="majorHAnsi"/>
          <w:sz w:val="24"/>
          <w:szCs w:val="24"/>
          <w:lang w:val="en-GB"/>
        </w:rPr>
        <w:t>) and informed, that in February there has been a meeting of the DYC members and PAC teams. In June, there will also be a Danube Youth Camp in Vienna. DYON is currently developing its own Rules of Procedure. Ms. Hauder has also informed the Steering Group about the ongoing governance discussions in the Strategy including the EC letter to the line ministries.</w:t>
      </w:r>
    </w:p>
    <w:p w14:paraId="7CC3E7CD" w14:textId="77777777" w:rsidR="00B92C33" w:rsidRDefault="00B92C33" w:rsidP="00B92C33">
      <w:pPr>
        <w:spacing w:line="360" w:lineRule="auto"/>
        <w:jc w:val="both"/>
        <w:rPr>
          <w:rFonts w:ascii="Aptos" w:eastAsia="Arial" w:hAnsi="Aptos" w:cstheme="majorHAnsi"/>
          <w:sz w:val="24"/>
          <w:szCs w:val="24"/>
          <w:lang w:val="en-GB"/>
        </w:rPr>
      </w:pPr>
    </w:p>
    <w:p w14:paraId="33393374" w14:textId="79A720CA" w:rsidR="00325B9A" w:rsidRDefault="00AD3D4B" w:rsidP="00AD3D4B">
      <w:pPr>
        <w:pStyle w:val="Odstavecseseznamem"/>
        <w:numPr>
          <w:ilvl w:val="0"/>
          <w:numId w:val="2"/>
        </w:numPr>
        <w:spacing w:line="360" w:lineRule="auto"/>
        <w:jc w:val="both"/>
        <w:rPr>
          <w:rFonts w:ascii="Aptos" w:eastAsia="Arial" w:hAnsi="Aptos" w:cstheme="majorHAnsi"/>
          <w:b/>
          <w:bCs/>
          <w:sz w:val="24"/>
          <w:szCs w:val="24"/>
          <w:lang w:val="en-GB"/>
        </w:rPr>
      </w:pPr>
      <w:proofErr w:type="spellStart"/>
      <w:r>
        <w:rPr>
          <w:rFonts w:ascii="Aptos" w:eastAsia="Arial" w:hAnsi="Aptos" w:cstheme="majorHAnsi"/>
          <w:b/>
          <w:bCs/>
          <w:sz w:val="24"/>
          <w:szCs w:val="24"/>
          <w:lang w:val="en-GB"/>
        </w:rPr>
        <w:t>SMEnergy</w:t>
      </w:r>
      <w:proofErr w:type="spellEnd"/>
      <w:r w:rsidRPr="00AD3D4B">
        <w:rPr>
          <w:rFonts w:ascii="Aptos" w:eastAsia="Arial" w:hAnsi="Aptos" w:cstheme="majorHAnsi"/>
          <w:b/>
          <w:bCs/>
          <w:sz w:val="24"/>
          <w:szCs w:val="24"/>
          <w:lang w:val="en-GB"/>
        </w:rPr>
        <w:t xml:space="preserve"> project introduction</w:t>
      </w:r>
    </w:p>
    <w:p w14:paraId="20EE7233" w14:textId="36C4543D"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Mr. Červenka (</w:t>
      </w:r>
      <w:r>
        <w:rPr>
          <w:rFonts w:ascii="Aptos" w:eastAsia="Arial" w:hAnsi="Aptos" w:cstheme="majorHAnsi"/>
          <w:sz w:val="24"/>
          <w:szCs w:val="24"/>
          <w:lang w:val="en-GB"/>
        </w:rPr>
        <w:t>DEX-IC</w:t>
      </w:r>
      <w:r w:rsidRPr="00AD3D4B">
        <w:rPr>
          <w:rFonts w:ascii="Aptos" w:eastAsia="Arial" w:hAnsi="Aptos" w:cstheme="majorHAnsi"/>
          <w:sz w:val="24"/>
          <w:szCs w:val="24"/>
          <w:lang w:val="en-GB"/>
        </w:rPr>
        <w:t xml:space="preserve">) from the Innovation </w:t>
      </w:r>
      <w:proofErr w:type="spellStart"/>
      <w:r w:rsidRPr="00AD3D4B">
        <w:rPr>
          <w:rFonts w:ascii="Aptos" w:eastAsia="Arial" w:hAnsi="Aptos" w:cstheme="majorHAnsi"/>
          <w:sz w:val="24"/>
          <w:szCs w:val="24"/>
          <w:lang w:val="en-GB"/>
        </w:rPr>
        <w:t>Center</w:t>
      </w:r>
      <w:proofErr w:type="spellEnd"/>
      <w:r w:rsidRPr="00AD3D4B">
        <w:rPr>
          <w:rFonts w:ascii="Aptos" w:eastAsia="Arial" w:hAnsi="Aptos" w:cstheme="majorHAnsi"/>
          <w:sz w:val="24"/>
          <w:szCs w:val="24"/>
          <w:lang w:val="en-GB"/>
        </w:rPr>
        <w:t xml:space="preserve"> presented the </w:t>
      </w:r>
      <w:proofErr w:type="spellStart"/>
      <w:r w:rsidRPr="00AD3D4B">
        <w:rPr>
          <w:rFonts w:ascii="Aptos" w:eastAsia="Arial" w:hAnsi="Aptos" w:cstheme="majorHAnsi"/>
          <w:sz w:val="24"/>
          <w:szCs w:val="24"/>
          <w:lang w:val="en-GB"/>
        </w:rPr>
        <w:t>SMEnergy</w:t>
      </w:r>
      <w:proofErr w:type="spellEnd"/>
      <w:r w:rsidRPr="00AD3D4B">
        <w:rPr>
          <w:rFonts w:ascii="Aptos" w:eastAsia="Arial" w:hAnsi="Aptos" w:cstheme="majorHAnsi"/>
          <w:sz w:val="24"/>
          <w:szCs w:val="24"/>
          <w:lang w:val="en-GB"/>
        </w:rPr>
        <w:t xml:space="preserve"> project, which supports Small and Medium-sized Enterprises (SMEs) in transitioning to renewable energy and improving energy efficiency. The project addresses key </w:t>
      </w:r>
      <w:r w:rsidRPr="00AD3D4B">
        <w:rPr>
          <w:rFonts w:ascii="Aptos" w:eastAsia="Arial" w:hAnsi="Aptos" w:cstheme="majorHAnsi"/>
          <w:sz w:val="24"/>
          <w:szCs w:val="24"/>
          <w:lang w:val="en-GB"/>
        </w:rPr>
        <w:lastRenderedPageBreak/>
        <w:t>challenges faced by SMEs, such as navigating a complex landscape of energy solutions, identifying reliable suppliers, and managing high upfront investment costs.</w:t>
      </w:r>
    </w:p>
    <w:p w14:paraId="6DF5E316" w14:textId="16E8672C"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 xml:space="preserve">A core element of </w:t>
      </w:r>
      <w:proofErr w:type="spellStart"/>
      <w:r w:rsidRPr="00AD3D4B">
        <w:rPr>
          <w:rFonts w:ascii="Aptos" w:eastAsia="Arial" w:hAnsi="Aptos" w:cstheme="majorHAnsi"/>
          <w:sz w:val="24"/>
          <w:szCs w:val="24"/>
          <w:lang w:val="en-GB"/>
        </w:rPr>
        <w:t>SMEnergy</w:t>
      </w:r>
      <w:proofErr w:type="spellEnd"/>
      <w:r w:rsidRPr="00AD3D4B">
        <w:rPr>
          <w:rFonts w:ascii="Aptos" w:eastAsia="Arial" w:hAnsi="Aptos" w:cstheme="majorHAnsi"/>
          <w:sz w:val="24"/>
          <w:szCs w:val="24"/>
          <w:lang w:val="en-GB"/>
        </w:rPr>
        <w:t xml:space="preserve"> is the establishment of Knowledge and Service Hubs—referred to as “Get Calls”—which provide SMEs with expert guidance on energy solutions, financing options, and networking opportunities. The project is also developing an Energy Transition Roadmap to help businesses plan and implement their energy shift efficiently. Additionally, a Green Energy Database and Marketplace is being created to connect SMEs with verified suppliers, auditors, and service providers.</w:t>
      </w:r>
    </w:p>
    <w:p w14:paraId="6C06D4AF" w14:textId="0D15C30C" w:rsidR="0040127F"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To ensure practical applicability, pilot actions involving four SMEs per partner country (26 in total) will test the tools and approaches developed. These will be complemented by long-term strategic Toolkits and ongoing engagement with market stakeholders, whose feedback is shaping the tools and services offered. Suppliers are also encouraged to participate through free promotional opportunities within the platform.</w:t>
      </w:r>
    </w:p>
    <w:p w14:paraId="4AD302D4" w14:textId="77777777" w:rsidR="00AD3D4B" w:rsidRDefault="00AD3D4B" w:rsidP="00AD3D4B">
      <w:pPr>
        <w:spacing w:line="360" w:lineRule="auto"/>
        <w:jc w:val="both"/>
        <w:rPr>
          <w:rFonts w:ascii="Aptos" w:eastAsia="Arial" w:hAnsi="Aptos" w:cstheme="majorHAnsi"/>
          <w:sz w:val="24"/>
          <w:szCs w:val="24"/>
          <w:lang w:val="en-GB"/>
        </w:rPr>
      </w:pPr>
    </w:p>
    <w:p w14:paraId="67EA7C4E" w14:textId="10CD2327" w:rsidR="00325B9A" w:rsidRPr="00AD3D4B" w:rsidRDefault="00AD3D4B" w:rsidP="00325B9A">
      <w:pPr>
        <w:pStyle w:val="Odstavecseseznamem"/>
        <w:numPr>
          <w:ilvl w:val="0"/>
          <w:numId w:val="2"/>
        </w:numPr>
        <w:spacing w:line="360" w:lineRule="auto"/>
        <w:jc w:val="both"/>
        <w:rPr>
          <w:rFonts w:ascii="Aptos" w:eastAsia="Arial" w:hAnsi="Aptos" w:cstheme="majorHAnsi"/>
          <w:b/>
          <w:bCs/>
          <w:sz w:val="24"/>
          <w:szCs w:val="24"/>
          <w:lang w:val="en-GB"/>
        </w:rPr>
      </w:pPr>
      <w:r w:rsidRPr="00AD3D4B">
        <w:rPr>
          <w:rFonts w:ascii="Aptos" w:eastAsia="Arial" w:hAnsi="Aptos" w:cstheme="majorHAnsi"/>
          <w:b/>
          <w:bCs/>
          <w:sz w:val="24"/>
          <w:szCs w:val="24"/>
          <w:lang w:val="en-GB"/>
        </w:rPr>
        <w:t>Active2Public Transport project introduction</w:t>
      </w:r>
    </w:p>
    <w:p w14:paraId="399A2175" w14:textId="2C6C8E06"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Ms. Bittner (AT) from the Austrian Energy Agency presented the Active2Public Transport project, joining the meeting from Belgrade, where the 4th partner meeting was underway. The project promotes the integration of walking and cycling with public transport to encourage a shift toward more sustainable, low-carbon mobility. Led by the Austrian Energy Agency, the project brings together 11 partners from 9 countries and over 23 associated partners, including ministries, mobility agencies, public transport providers, and research institutions.</w:t>
      </w:r>
    </w:p>
    <w:p w14:paraId="69025A19" w14:textId="77777777"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Active2Public identifies and showcases best practices in combining active mobility with public transport—such as well-equipped stations with bike parking, improved pedestrian access, and integrated infrastructure for rural areas. It explores technical solutions like combined ticketing systems, bike transport and parking integration, and real-time passenger information, both digitally and on-site.</w:t>
      </w:r>
    </w:p>
    <w:p w14:paraId="1A474DB2" w14:textId="77777777" w:rsidR="00AD3D4B" w:rsidRPr="00AD3D4B" w:rsidRDefault="00AD3D4B" w:rsidP="00AD3D4B">
      <w:pPr>
        <w:spacing w:line="360" w:lineRule="auto"/>
        <w:jc w:val="both"/>
        <w:rPr>
          <w:rFonts w:ascii="Aptos" w:eastAsia="Arial" w:hAnsi="Aptos" w:cstheme="majorHAnsi"/>
          <w:sz w:val="24"/>
          <w:szCs w:val="24"/>
          <w:lang w:val="en-GB"/>
        </w:rPr>
      </w:pPr>
    </w:p>
    <w:p w14:paraId="0C5FEA21" w14:textId="5B914D07"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 xml:space="preserve">A significant component involves comprehensive data analysis to assess current mobility patterns, energy use, and infrastructure, with a focus on closing data gaps in active mobility statistics. These findings will inform a Danube-wide Action Plan built on </w:t>
      </w:r>
      <w:r w:rsidRPr="00AD3D4B">
        <w:rPr>
          <w:rFonts w:ascii="Aptos" w:eastAsia="Arial" w:hAnsi="Aptos" w:cstheme="majorHAnsi"/>
          <w:sz w:val="24"/>
          <w:szCs w:val="24"/>
          <w:lang w:val="en-GB"/>
        </w:rPr>
        <w:lastRenderedPageBreak/>
        <w:t>nine regional plans developed through working groups. In parallel, an Online Toolbox will share insights from the pilot activities, which are set to launch this year in nine regions. Pilots include schemes offering free public transport and e-bikes in exchange for car keys, and urban redesigns to improve walking and cycling conditions.</w:t>
      </w:r>
    </w:p>
    <w:p w14:paraId="0D0690DA" w14:textId="56A5A9B6" w:rsidR="0040127F"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The project also advocates for improved policy frameworks supporting accessible, barrier-free stations, better bike-and-ride systems, and greater integration of active mobility into transport planning across the Danube region.</w:t>
      </w:r>
    </w:p>
    <w:p w14:paraId="1D2C24EC" w14:textId="77777777" w:rsidR="00AD3D4B" w:rsidRDefault="00AD3D4B" w:rsidP="00AD3D4B">
      <w:pPr>
        <w:spacing w:line="360" w:lineRule="auto"/>
        <w:ind w:firstLine="360"/>
        <w:jc w:val="both"/>
        <w:rPr>
          <w:rFonts w:ascii="Aptos" w:eastAsia="Arial" w:hAnsi="Aptos" w:cstheme="majorHAnsi"/>
          <w:sz w:val="24"/>
          <w:szCs w:val="24"/>
          <w:lang w:val="en-GB"/>
        </w:rPr>
      </w:pPr>
    </w:p>
    <w:p w14:paraId="1288EF96" w14:textId="5A0D0310" w:rsidR="00AD3D4B" w:rsidRPr="00AD3D4B" w:rsidRDefault="00AD3D4B" w:rsidP="00AD3D4B">
      <w:pPr>
        <w:pStyle w:val="Odstavecseseznamem"/>
        <w:numPr>
          <w:ilvl w:val="0"/>
          <w:numId w:val="2"/>
        </w:numPr>
        <w:spacing w:line="360" w:lineRule="auto"/>
        <w:jc w:val="both"/>
        <w:rPr>
          <w:rFonts w:ascii="Aptos" w:eastAsia="Arial" w:hAnsi="Aptos" w:cstheme="majorHAnsi"/>
          <w:b/>
          <w:bCs/>
          <w:sz w:val="24"/>
          <w:szCs w:val="24"/>
          <w:lang w:val="en-GB"/>
        </w:rPr>
      </w:pPr>
      <w:proofErr w:type="spellStart"/>
      <w:r>
        <w:rPr>
          <w:rFonts w:ascii="Aptos" w:eastAsia="Arial" w:hAnsi="Aptos" w:cstheme="majorHAnsi"/>
          <w:b/>
          <w:bCs/>
          <w:sz w:val="24"/>
          <w:szCs w:val="24"/>
          <w:lang w:val="en-GB"/>
        </w:rPr>
        <w:t>GreetGeo</w:t>
      </w:r>
      <w:proofErr w:type="spellEnd"/>
      <w:r w:rsidRPr="00AD3D4B">
        <w:rPr>
          <w:rFonts w:ascii="Aptos" w:eastAsia="Arial" w:hAnsi="Aptos" w:cstheme="majorHAnsi"/>
          <w:b/>
          <w:bCs/>
          <w:sz w:val="24"/>
          <w:szCs w:val="24"/>
          <w:lang w:val="en-GB"/>
        </w:rPr>
        <w:t xml:space="preserve"> project introduction</w:t>
      </w:r>
    </w:p>
    <w:p w14:paraId="307C80AB" w14:textId="6C631BF7"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 xml:space="preserve">Ms. Tóth (South Transdanubian Regional Innovation Agency) </w:t>
      </w:r>
      <w:r>
        <w:rPr>
          <w:rFonts w:ascii="Aptos" w:eastAsia="Arial" w:hAnsi="Aptos" w:cstheme="majorHAnsi"/>
          <w:sz w:val="24"/>
          <w:szCs w:val="24"/>
          <w:lang w:val="en-GB"/>
        </w:rPr>
        <w:t xml:space="preserve">has </w:t>
      </w:r>
      <w:r w:rsidRPr="00AD3D4B">
        <w:rPr>
          <w:rFonts w:ascii="Aptos" w:eastAsia="Arial" w:hAnsi="Aptos" w:cstheme="majorHAnsi"/>
          <w:sz w:val="24"/>
          <w:szCs w:val="24"/>
          <w:lang w:val="en-GB"/>
        </w:rPr>
        <w:t xml:space="preserve">presented the </w:t>
      </w:r>
      <w:proofErr w:type="spellStart"/>
      <w:r w:rsidRPr="00AD3D4B">
        <w:rPr>
          <w:rFonts w:ascii="Aptos" w:eastAsia="Arial" w:hAnsi="Aptos" w:cstheme="majorHAnsi"/>
          <w:sz w:val="24"/>
          <w:szCs w:val="24"/>
          <w:lang w:val="en-GB"/>
        </w:rPr>
        <w:t>GreetGeo</w:t>
      </w:r>
      <w:proofErr w:type="spellEnd"/>
      <w:r w:rsidRPr="00AD3D4B">
        <w:rPr>
          <w:rFonts w:ascii="Aptos" w:eastAsia="Arial" w:hAnsi="Aptos" w:cstheme="majorHAnsi"/>
          <w:sz w:val="24"/>
          <w:szCs w:val="24"/>
          <w:lang w:val="en-GB"/>
        </w:rPr>
        <w:t xml:space="preserve"> project, which focuses on promoting the green transition through innovative and multi-purpose use of geothermal energy, covering both deep and shallow sources. Launched in November under the I3 instrument, the two-year project is supported by nearly 1.5 million euros and involves ten partners—mainly from </w:t>
      </w:r>
      <w:proofErr w:type="spellStart"/>
      <w:r w:rsidRPr="00AD3D4B">
        <w:rPr>
          <w:rFonts w:ascii="Aptos" w:eastAsia="Arial" w:hAnsi="Aptos" w:cstheme="majorHAnsi"/>
          <w:sz w:val="24"/>
          <w:szCs w:val="24"/>
          <w:lang w:val="en-GB"/>
        </w:rPr>
        <w:t>Beiji</w:t>
      </w:r>
      <w:proofErr w:type="spellEnd"/>
      <w:r w:rsidRPr="00AD3D4B">
        <w:rPr>
          <w:rFonts w:ascii="Aptos" w:eastAsia="Arial" w:hAnsi="Aptos" w:cstheme="majorHAnsi"/>
          <w:sz w:val="24"/>
          <w:szCs w:val="24"/>
          <w:lang w:val="en-GB"/>
        </w:rPr>
        <w:t xml:space="preserve"> and outermost EU regions—including public authorities, SMEs, energy agencies, and industrial actors, with over 30 associated partners. The project is led by the Energy Institute in Zagreb.</w:t>
      </w:r>
    </w:p>
    <w:p w14:paraId="2B003CED" w14:textId="51A699C3" w:rsidR="00AD3D4B" w:rsidRPr="00AD3D4B" w:rsidRDefault="00AD3D4B" w:rsidP="00AD3D4B">
      <w:pPr>
        <w:spacing w:line="360" w:lineRule="auto"/>
        <w:ind w:firstLine="360"/>
        <w:jc w:val="both"/>
        <w:rPr>
          <w:rFonts w:ascii="Aptos" w:eastAsia="Arial" w:hAnsi="Aptos" w:cstheme="majorHAnsi"/>
          <w:sz w:val="24"/>
          <w:szCs w:val="24"/>
          <w:lang w:val="en-GB"/>
        </w:rPr>
      </w:pPr>
      <w:proofErr w:type="spellStart"/>
      <w:r w:rsidRPr="00AD3D4B">
        <w:rPr>
          <w:rFonts w:ascii="Aptos" w:eastAsia="Arial" w:hAnsi="Aptos" w:cstheme="majorHAnsi"/>
          <w:sz w:val="24"/>
          <w:szCs w:val="24"/>
          <w:lang w:val="en-GB"/>
        </w:rPr>
        <w:t>GreetGeo</w:t>
      </w:r>
      <w:proofErr w:type="spellEnd"/>
      <w:r w:rsidRPr="00AD3D4B">
        <w:rPr>
          <w:rFonts w:ascii="Aptos" w:eastAsia="Arial" w:hAnsi="Aptos" w:cstheme="majorHAnsi"/>
          <w:sz w:val="24"/>
          <w:szCs w:val="24"/>
          <w:lang w:val="en-GB"/>
        </w:rPr>
        <w:t xml:space="preserve"> aims to stimulate geothermal investments through both EU funding and private sector engagement, particularly targeting SMEs. One key focus is the development of interregional geothermal value chains, alongside capacity-building activities such as training sessions, best practice exchanges, and peer learning. The project also promotes innovative financing approaches and hybrid geothermal systems.</w:t>
      </w:r>
    </w:p>
    <w:p w14:paraId="5D81888E" w14:textId="0EE0659B" w:rsidR="00AD3D4B" w:rsidRPr="00AD3D4B" w:rsidRDefault="00AD3D4B" w:rsidP="00AD3D4B">
      <w:pPr>
        <w:spacing w:line="360" w:lineRule="auto"/>
        <w:ind w:firstLine="360"/>
        <w:jc w:val="both"/>
        <w:rPr>
          <w:rFonts w:ascii="Aptos" w:eastAsia="Arial" w:hAnsi="Aptos" w:cstheme="majorHAnsi"/>
          <w:sz w:val="24"/>
          <w:szCs w:val="24"/>
          <w:lang w:val="en-GB"/>
        </w:rPr>
      </w:pPr>
      <w:r w:rsidRPr="00AD3D4B">
        <w:rPr>
          <w:rFonts w:ascii="Aptos" w:eastAsia="Arial" w:hAnsi="Aptos" w:cstheme="majorHAnsi"/>
          <w:sz w:val="24"/>
          <w:szCs w:val="24"/>
          <w:lang w:val="en-GB"/>
        </w:rPr>
        <w:t xml:space="preserve">Initial efforts are </w:t>
      </w:r>
      <w:proofErr w:type="spellStart"/>
      <w:r w:rsidRPr="00AD3D4B">
        <w:rPr>
          <w:rFonts w:ascii="Aptos" w:eastAsia="Arial" w:hAnsi="Aptos" w:cstheme="majorHAnsi"/>
          <w:sz w:val="24"/>
          <w:szCs w:val="24"/>
          <w:lang w:val="en-GB"/>
        </w:rPr>
        <w:t>centered</w:t>
      </w:r>
      <w:proofErr w:type="spellEnd"/>
      <w:r w:rsidRPr="00AD3D4B">
        <w:rPr>
          <w:rFonts w:ascii="Aptos" w:eastAsia="Arial" w:hAnsi="Aptos" w:cstheme="majorHAnsi"/>
          <w:sz w:val="24"/>
          <w:szCs w:val="24"/>
          <w:lang w:val="en-GB"/>
        </w:rPr>
        <w:t xml:space="preserve"> on research and analysis to underpin future actions, including the creation of a comprehensive geothermal database hosted on a dedicated project website. This platform will offer best practices, roadmaps, policy guidance, and stakeholder data. Pilot activities will demonstrate practical applications of the knowledge developed, while selected projects will receive tailored business, technical, and financial support to prepare for upcoming I3 funding opportunities.</w:t>
      </w:r>
    </w:p>
    <w:p w14:paraId="3113BC7A" w14:textId="4D609FD4" w:rsidR="00AD3D4B" w:rsidRDefault="00AD3D4B" w:rsidP="00AD3D4B">
      <w:pPr>
        <w:spacing w:line="360" w:lineRule="auto"/>
        <w:ind w:firstLine="360"/>
        <w:jc w:val="both"/>
        <w:rPr>
          <w:rFonts w:ascii="Aptos" w:eastAsia="Arial" w:hAnsi="Aptos" w:cstheme="majorHAnsi"/>
          <w:sz w:val="24"/>
          <w:szCs w:val="24"/>
          <w:lang w:val="en-GB"/>
        </w:rPr>
      </w:pPr>
      <w:proofErr w:type="spellStart"/>
      <w:r w:rsidRPr="00AD3D4B">
        <w:rPr>
          <w:rFonts w:ascii="Aptos" w:eastAsia="Arial" w:hAnsi="Aptos" w:cstheme="majorHAnsi"/>
          <w:sz w:val="24"/>
          <w:szCs w:val="24"/>
          <w:lang w:val="en-GB"/>
        </w:rPr>
        <w:t>GreetGeo</w:t>
      </w:r>
      <w:proofErr w:type="spellEnd"/>
      <w:r w:rsidRPr="00AD3D4B">
        <w:rPr>
          <w:rFonts w:ascii="Aptos" w:eastAsia="Arial" w:hAnsi="Aptos" w:cstheme="majorHAnsi"/>
          <w:sz w:val="24"/>
          <w:szCs w:val="24"/>
          <w:lang w:val="en-GB"/>
        </w:rPr>
        <w:t xml:space="preserve"> further aims to ease regulatory barriers by streamlining permitting processes and recommending policy improvements. Special attention is given to supporting geothermal development in less-developed regions with high resource </w:t>
      </w:r>
      <w:r w:rsidRPr="00AD3D4B">
        <w:rPr>
          <w:rFonts w:ascii="Aptos" w:eastAsia="Arial" w:hAnsi="Aptos" w:cstheme="majorHAnsi"/>
          <w:sz w:val="24"/>
          <w:szCs w:val="24"/>
          <w:lang w:val="en-GB"/>
        </w:rPr>
        <w:lastRenderedPageBreak/>
        <w:t>potential, enhancing both innovation capacity and stakeholder engagement through surveys, mappings, and local training initiatives.</w:t>
      </w:r>
    </w:p>
    <w:p w14:paraId="5173393F" w14:textId="77777777" w:rsidR="00AD3D4B" w:rsidRPr="0040127F" w:rsidRDefault="00AD3D4B" w:rsidP="00AD3D4B">
      <w:pPr>
        <w:spacing w:line="360" w:lineRule="auto"/>
        <w:jc w:val="both"/>
        <w:rPr>
          <w:rFonts w:ascii="Aptos" w:eastAsia="Arial" w:hAnsi="Aptos" w:cstheme="majorHAnsi"/>
          <w:sz w:val="24"/>
          <w:szCs w:val="24"/>
          <w:lang w:val="en-GB"/>
        </w:rPr>
      </w:pPr>
    </w:p>
    <w:p w14:paraId="685CEBF8" w14:textId="4A8EA402" w:rsidR="00B0595C" w:rsidRPr="00B04446" w:rsidRDefault="00B0595C" w:rsidP="000D0E68">
      <w:pPr>
        <w:pStyle w:val="Odstavecseseznamem"/>
        <w:numPr>
          <w:ilvl w:val="0"/>
          <w:numId w:val="2"/>
        </w:numPr>
        <w:spacing w:line="360" w:lineRule="auto"/>
        <w:jc w:val="both"/>
        <w:rPr>
          <w:rFonts w:ascii="Aptos" w:eastAsia="Arial" w:hAnsi="Aptos" w:cstheme="majorHAnsi"/>
          <w:b/>
          <w:bCs/>
          <w:sz w:val="24"/>
          <w:szCs w:val="24"/>
          <w:lang w:val="en-GB"/>
        </w:rPr>
      </w:pPr>
      <w:r w:rsidRPr="00B04446">
        <w:rPr>
          <w:rFonts w:ascii="Aptos" w:eastAsia="Arial" w:hAnsi="Aptos" w:cstheme="majorHAnsi"/>
          <w:b/>
          <w:bCs/>
          <w:sz w:val="24"/>
          <w:szCs w:val="24"/>
          <w:lang w:val="en-GB"/>
        </w:rPr>
        <w:t>Meeting closure</w:t>
      </w:r>
    </w:p>
    <w:p w14:paraId="122B9526" w14:textId="5760E2ED" w:rsidR="002B2116" w:rsidRPr="00B04446" w:rsidRDefault="00AD3D4B" w:rsidP="00AD3D4B">
      <w:pPr>
        <w:spacing w:line="360" w:lineRule="auto"/>
        <w:ind w:firstLine="360"/>
        <w:jc w:val="both"/>
        <w:rPr>
          <w:rFonts w:ascii="Aptos" w:eastAsia="Arial" w:hAnsi="Aptos" w:cstheme="majorHAnsi"/>
          <w:sz w:val="24"/>
          <w:szCs w:val="24"/>
          <w:lang w:val="en-GB"/>
        </w:rPr>
      </w:pPr>
      <w:r>
        <w:rPr>
          <w:rFonts w:ascii="Aptos" w:eastAsia="Arial" w:hAnsi="Aptos" w:cstheme="majorHAnsi"/>
          <w:sz w:val="24"/>
          <w:szCs w:val="24"/>
          <w:lang w:val="en-GB"/>
        </w:rPr>
        <w:t>As there were no further questions and agenda finished, Mr. Vondra has concluded the meeting, thanking the participants for attending the meeting and wishing them a pleasant journey home.</w:t>
      </w:r>
    </w:p>
    <w:sectPr w:rsidR="002B2116" w:rsidRPr="00B044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48A8" w14:textId="77777777" w:rsidR="00105ED8" w:rsidRDefault="00105ED8" w:rsidP="00676F91">
      <w:r>
        <w:separator/>
      </w:r>
    </w:p>
  </w:endnote>
  <w:endnote w:type="continuationSeparator" w:id="0">
    <w:p w14:paraId="207CED92" w14:textId="77777777" w:rsidR="00105ED8" w:rsidRDefault="00105ED8" w:rsidP="006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4A6C" w14:textId="73ECC6B6" w:rsidR="00286B2E" w:rsidRDefault="007B6CE7">
    <w:pPr>
      <w:pStyle w:val="Zpat"/>
    </w:pPr>
    <w:r>
      <w:rPr>
        <w:noProof/>
        <w:lang w:val="de-DE" w:eastAsia="de-DE"/>
      </w:rPr>
      <w:drawing>
        <wp:anchor distT="0" distB="0" distL="114300" distR="114300" simplePos="0" relativeHeight="251659264" behindDoc="0" locked="0" layoutInCell="1" allowOverlap="1" wp14:anchorId="262222F7" wp14:editId="5D901838">
          <wp:simplePos x="0" y="0"/>
          <wp:positionH relativeFrom="margin">
            <wp:align>right</wp:align>
          </wp:positionH>
          <wp:positionV relativeFrom="paragraph">
            <wp:posOffset>-304800</wp:posOffset>
          </wp:positionV>
          <wp:extent cx="924560" cy="924560"/>
          <wp:effectExtent l="0" t="0" r="8890" b="8890"/>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6245AC9E" wp14:editId="13C877D8">
          <wp:simplePos x="0" y="0"/>
          <wp:positionH relativeFrom="margin">
            <wp:posOffset>-41275</wp:posOffset>
          </wp:positionH>
          <wp:positionV relativeFrom="paragraph">
            <wp:posOffset>-143510</wp:posOffset>
          </wp:positionV>
          <wp:extent cx="1057275" cy="615950"/>
          <wp:effectExtent l="0" t="0" r="952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a:blip r:embed="rId2">
                    <a:extLst>
                      <a:ext uri="{28A0092B-C50C-407E-A947-70E740481C1C}">
                        <a14:useLocalDpi xmlns:a14="http://schemas.microsoft.com/office/drawing/2010/main" val="0"/>
                      </a:ext>
                    </a:extLst>
                  </a:blip>
                  <a:stretch>
                    <a:fillRect/>
                  </a:stretch>
                </pic:blipFill>
                <pic:spPr>
                  <a:xfrm>
                    <a:off x="0" y="0"/>
                    <a:ext cx="1057275" cy="615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6BBE" w14:textId="77777777" w:rsidR="00105ED8" w:rsidRDefault="00105ED8" w:rsidP="00676F91">
      <w:r>
        <w:separator/>
      </w:r>
    </w:p>
  </w:footnote>
  <w:footnote w:type="continuationSeparator" w:id="0">
    <w:p w14:paraId="5A2B5FAC" w14:textId="77777777" w:rsidR="00105ED8" w:rsidRDefault="00105ED8" w:rsidP="0067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4245" w14:textId="46217B01" w:rsidR="00676F91" w:rsidRDefault="007B6CE7" w:rsidP="00676F91">
    <w:pPr>
      <w:pStyle w:val="Zhlav"/>
    </w:pPr>
    <w:r>
      <w:rPr>
        <w:noProof/>
        <w:lang w:val="de-DE" w:eastAsia="de-DE"/>
      </w:rPr>
      <w:drawing>
        <wp:anchor distT="0" distB="0" distL="114300" distR="114300" simplePos="0" relativeHeight="251665408" behindDoc="0" locked="0" layoutInCell="1" allowOverlap="1" wp14:anchorId="1CD98DA4" wp14:editId="2354703C">
          <wp:simplePos x="0" y="0"/>
          <wp:positionH relativeFrom="margin">
            <wp:posOffset>3395980</wp:posOffset>
          </wp:positionH>
          <wp:positionV relativeFrom="paragraph">
            <wp:posOffset>-87630</wp:posOffset>
          </wp:positionV>
          <wp:extent cx="1323975" cy="541020"/>
          <wp:effectExtent l="0" t="0" r="9525" b="0"/>
          <wp:wrapSquare wrapText="bothSides"/>
          <wp:docPr id="1748080016" name="Kép 2" descr="A képen szöveg, Betűtípus, embléma, Grafika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80016" name="Kép 2" descr="A képen szöveg, Betűtípus, embléma, Grafika látható"/>
                  <pic:cNvPicPr/>
                </pic:nvPicPr>
                <pic:blipFill>
                  <a:blip r:embed="rId1">
                    <a:extLst>
                      <a:ext uri="{28A0092B-C50C-407E-A947-70E740481C1C}">
                        <a14:useLocalDpi xmlns:a14="http://schemas.microsoft.com/office/drawing/2010/main" val="0"/>
                      </a:ext>
                    </a:extLst>
                  </a:blip>
                  <a:stretch>
                    <a:fillRect/>
                  </a:stretch>
                </pic:blipFill>
                <pic:spPr>
                  <a:xfrm>
                    <a:off x="0" y="0"/>
                    <a:ext cx="1323975" cy="54102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3360" behindDoc="0" locked="0" layoutInCell="1" allowOverlap="1" wp14:anchorId="204BDCDC" wp14:editId="0AC4029F">
          <wp:simplePos x="0" y="0"/>
          <wp:positionH relativeFrom="column">
            <wp:posOffset>5320030</wp:posOffset>
          </wp:positionH>
          <wp:positionV relativeFrom="paragraph">
            <wp:posOffset>-40005</wp:posOffset>
          </wp:positionV>
          <wp:extent cx="571500" cy="485775"/>
          <wp:effectExtent l="0" t="0" r="0"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pic:cNvPicPr/>
                </pic:nvPicPr>
                <pic:blipFill>
                  <a:blip r:embed="rId2">
                    <a:extLst>
                      <a:ext uri="{28A0092B-C50C-407E-A947-70E740481C1C}">
                        <a14:useLocalDpi xmlns:a14="http://schemas.microsoft.com/office/drawing/2010/main" val="0"/>
                      </a:ext>
                    </a:extLst>
                  </a:blip>
                  <a:stretch>
                    <a:fillRect/>
                  </a:stretch>
                </pic:blipFill>
                <pic:spPr>
                  <a:xfrm>
                    <a:off x="0" y="0"/>
                    <a:ext cx="571500" cy="48577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4384" behindDoc="0" locked="0" layoutInCell="1" allowOverlap="1" wp14:anchorId="51EE97E9" wp14:editId="56DE260D">
          <wp:simplePos x="0" y="0"/>
          <wp:positionH relativeFrom="column">
            <wp:posOffset>-442595</wp:posOffset>
          </wp:positionH>
          <wp:positionV relativeFrom="paragraph">
            <wp:posOffset>-144780</wp:posOffset>
          </wp:positionV>
          <wp:extent cx="3492500" cy="558800"/>
          <wp:effectExtent l="0" t="0" r="0" b="0"/>
          <wp:wrapSquare wrapText="bothSides"/>
          <wp:docPr id="1380640979" name="Kép 1" descr="A képen szöveg, Betűtípus, Acélkék,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0979" name="Kép 1" descr="A képen szöveg, Betűtípus, Acélkék, képernyőkép látható&#10;&#10;Automatikusan generált leírás"/>
                  <pic:cNvPicPr/>
                </pic:nvPicPr>
                <pic:blipFill>
                  <a:blip r:embed="rId3">
                    <a:extLst>
                      <a:ext uri="{28A0092B-C50C-407E-A947-70E740481C1C}">
                        <a14:useLocalDpi xmlns:a14="http://schemas.microsoft.com/office/drawing/2010/main" val="0"/>
                      </a:ext>
                    </a:extLst>
                  </a:blip>
                  <a:stretch>
                    <a:fillRect/>
                  </a:stretch>
                </pic:blipFill>
                <pic:spPr>
                  <a:xfrm>
                    <a:off x="0" y="0"/>
                    <a:ext cx="3492500" cy="558800"/>
                  </a:xfrm>
                  <a:prstGeom prst="rect">
                    <a:avLst/>
                  </a:prstGeom>
                </pic:spPr>
              </pic:pic>
            </a:graphicData>
          </a:graphic>
          <wp14:sizeRelH relativeFrom="margin">
            <wp14:pctWidth>0</wp14:pctWidth>
          </wp14:sizeRelH>
          <wp14:sizeRelV relativeFrom="margin">
            <wp14:pctHeight>0</wp14:pctHeight>
          </wp14:sizeRelV>
        </wp:anchor>
      </w:drawing>
    </w:r>
  </w:p>
  <w:p w14:paraId="35C813D9" w14:textId="5E765F62" w:rsidR="00676F91" w:rsidRDefault="00676F91">
    <w:pPr>
      <w:pStyle w:val="Zhlav"/>
    </w:pPr>
  </w:p>
  <w:p w14:paraId="2705C780" w14:textId="38739B81" w:rsidR="000211B3" w:rsidRDefault="000211B3">
    <w:pPr>
      <w:pStyle w:val="Zhlav"/>
    </w:pPr>
  </w:p>
  <w:p w14:paraId="16139148" w14:textId="2413FF9D" w:rsidR="000211B3" w:rsidRDefault="00021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661D63"/>
    <w:multiLevelType w:val="hybridMultilevel"/>
    <w:tmpl w:val="3A703468"/>
    <w:lvl w:ilvl="0" w:tplc="F44A6E84">
      <w:start w:val="1"/>
      <w:numFmt w:val="bullet"/>
      <w:lvlText w:val="•"/>
      <w:lvlJc w:val="left"/>
      <w:pPr>
        <w:tabs>
          <w:tab w:val="num" w:pos="720"/>
        </w:tabs>
        <w:ind w:left="720" w:hanging="360"/>
      </w:pPr>
      <w:rPr>
        <w:rFonts w:ascii="Arial" w:hAnsi="Arial" w:hint="default"/>
      </w:rPr>
    </w:lvl>
    <w:lvl w:ilvl="1" w:tplc="186A00C4" w:tentative="1">
      <w:start w:val="1"/>
      <w:numFmt w:val="bullet"/>
      <w:lvlText w:val="•"/>
      <w:lvlJc w:val="left"/>
      <w:pPr>
        <w:tabs>
          <w:tab w:val="num" w:pos="1440"/>
        </w:tabs>
        <w:ind w:left="1440" w:hanging="360"/>
      </w:pPr>
      <w:rPr>
        <w:rFonts w:ascii="Arial" w:hAnsi="Arial" w:hint="default"/>
      </w:rPr>
    </w:lvl>
    <w:lvl w:ilvl="2" w:tplc="CEA298FE" w:tentative="1">
      <w:start w:val="1"/>
      <w:numFmt w:val="bullet"/>
      <w:lvlText w:val="•"/>
      <w:lvlJc w:val="left"/>
      <w:pPr>
        <w:tabs>
          <w:tab w:val="num" w:pos="2160"/>
        </w:tabs>
        <w:ind w:left="2160" w:hanging="360"/>
      </w:pPr>
      <w:rPr>
        <w:rFonts w:ascii="Arial" w:hAnsi="Arial" w:hint="default"/>
      </w:rPr>
    </w:lvl>
    <w:lvl w:ilvl="3" w:tplc="EC5ABD32" w:tentative="1">
      <w:start w:val="1"/>
      <w:numFmt w:val="bullet"/>
      <w:lvlText w:val="•"/>
      <w:lvlJc w:val="left"/>
      <w:pPr>
        <w:tabs>
          <w:tab w:val="num" w:pos="2880"/>
        </w:tabs>
        <w:ind w:left="2880" w:hanging="360"/>
      </w:pPr>
      <w:rPr>
        <w:rFonts w:ascii="Arial" w:hAnsi="Arial" w:hint="default"/>
      </w:rPr>
    </w:lvl>
    <w:lvl w:ilvl="4" w:tplc="D1568DB0" w:tentative="1">
      <w:start w:val="1"/>
      <w:numFmt w:val="bullet"/>
      <w:lvlText w:val="•"/>
      <w:lvlJc w:val="left"/>
      <w:pPr>
        <w:tabs>
          <w:tab w:val="num" w:pos="3600"/>
        </w:tabs>
        <w:ind w:left="3600" w:hanging="360"/>
      </w:pPr>
      <w:rPr>
        <w:rFonts w:ascii="Arial" w:hAnsi="Arial" w:hint="default"/>
      </w:rPr>
    </w:lvl>
    <w:lvl w:ilvl="5" w:tplc="3EB87BA4" w:tentative="1">
      <w:start w:val="1"/>
      <w:numFmt w:val="bullet"/>
      <w:lvlText w:val="•"/>
      <w:lvlJc w:val="left"/>
      <w:pPr>
        <w:tabs>
          <w:tab w:val="num" w:pos="4320"/>
        </w:tabs>
        <w:ind w:left="4320" w:hanging="360"/>
      </w:pPr>
      <w:rPr>
        <w:rFonts w:ascii="Arial" w:hAnsi="Arial" w:hint="default"/>
      </w:rPr>
    </w:lvl>
    <w:lvl w:ilvl="6" w:tplc="D8E6915E" w:tentative="1">
      <w:start w:val="1"/>
      <w:numFmt w:val="bullet"/>
      <w:lvlText w:val="•"/>
      <w:lvlJc w:val="left"/>
      <w:pPr>
        <w:tabs>
          <w:tab w:val="num" w:pos="5040"/>
        </w:tabs>
        <w:ind w:left="5040" w:hanging="360"/>
      </w:pPr>
      <w:rPr>
        <w:rFonts w:ascii="Arial" w:hAnsi="Arial" w:hint="default"/>
      </w:rPr>
    </w:lvl>
    <w:lvl w:ilvl="7" w:tplc="5F640D22" w:tentative="1">
      <w:start w:val="1"/>
      <w:numFmt w:val="bullet"/>
      <w:lvlText w:val="•"/>
      <w:lvlJc w:val="left"/>
      <w:pPr>
        <w:tabs>
          <w:tab w:val="num" w:pos="5760"/>
        </w:tabs>
        <w:ind w:left="5760" w:hanging="360"/>
      </w:pPr>
      <w:rPr>
        <w:rFonts w:ascii="Arial" w:hAnsi="Arial" w:hint="default"/>
      </w:rPr>
    </w:lvl>
    <w:lvl w:ilvl="8" w:tplc="526A0B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7F1FB2"/>
    <w:multiLevelType w:val="multilevel"/>
    <w:tmpl w:val="639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B3E92"/>
    <w:multiLevelType w:val="hybridMultilevel"/>
    <w:tmpl w:val="3502E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F47B7C"/>
    <w:multiLevelType w:val="hybridMultilevel"/>
    <w:tmpl w:val="E1E2271C"/>
    <w:lvl w:ilvl="0" w:tplc="E344644A">
      <w:numFmt w:val="bullet"/>
      <w:lvlText w:val="-"/>
      <w:lvlJc w:val="left"/>
      <w:pPr>
        <w:ind w:left="720" w:hanging="360"/>
      </w:pPr>
      <w:rPr>
        <w:rFonts w:ascii="Calibri" w:eastAsia="Arial"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B46360"/>
    <w:multiLevelType w:val="hybridMultilevel"/>
    <w:tmpl w:val="0930D674"/>
    <w:lvl w:ilvl="0" w:tplc="B9EADE5C">
      <w:start w:val="1"/>
      <w:numFmt w:val="decimal"/>
      <w:lvlText w:val="%1."/>
      <w:lvlJc w:val="left"/>
      <w:pPr>
        <w:ind w:left="720" w:hanging="360"/>
      </w:pPr>
      <w:rPr>
        <w:rFonts w:hint="default"/>
        <w:b/>
        <w:b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70F029E"/>
    <w:multiLevelType w:val="hybridMultilevel"/>
    <w:tmpl w:val="30325416"/>
    <w:lvl w:ilvl="0" w:tplc="44FCCDD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105ED"/>
    <w:multiLevelType w:val="hybridMultilevel"/>
    <w:tmpl w:val="E99EE28E"/>
    <w:lvl w:ilvl="0" w:tplc="E344644A">
      <w:numFmt w:val="bullet"/>
      <w:lvlText w:val="-"/>
      <w:lvlJc w:val="left"/>
      <w:pPr>
        <w:tabs>
          <w:tab w:val="num" w:pos="720"/>
        </w:tabs>
        <w:ind w:left="720" w:hanging="360"/>
      </w:pPr>
      <w:rPr>
        <w:rFonts w:ascii="Calibri" w:eastAsia="Arial" w:hAnsi="Calibri" w:cs="Calibri"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7329C3"/>
    <w:multiLevelType w:val="hybridMultilevel"/>
    <w:tmpl w:val="3502E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FA71DF"/>
    <w:multiLevelType w:val="hybridMultilevel"/>
    <w:tmpl w:val="3502E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C20C1E"/>
    <w:multiLevelType w:val="hybridMultilevel"/>
    <w:tmpl w:val="79808876"/>
    <w:lvl w:ilvl="0" w:tplc="9692F932">
      <w:start w:val="6"/>
      <w:numFmt w:val="bullet"/>
      <w:lvlText w:val="-"/>
      <w:lvlJc w:val="left"/>
      <w:pPr>
        <w:ind w:left="720" w:hanging="360"/>
      </w:pPr>
      <w:rPr>
        <w:rFonts w:ascii="Arial" w:eastAsia="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10"/>
  </w:num>
  <w:num w:numId="5">
    <w:abstractNumId w:val="4"/>
  </w:num>
  <w:num w:numId="6">
    <w:abstractNumId w:val="1"/>
  </w:num>
  <w:num w:numId="7">
    <w:abstractNumId w:val="7"/>
  </w:num>
  <w:num w:numId="8">
    <w:abstractNumId w:val="8"/>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91"/>
    <w:rsid w:val="00000309"/>
    <w:rsid w:val="00012CFD"/>
    <w:rsid w:val="000211B3"/>
    <w:rsid w:val="000339C9"/>
    <w:rsid w:val="00035D22"/>
    <w:rsid w:val="000367AC"/>
    <w:rsid w:val="00036CFA"/>
    <w:rsid w:val="00042533"/>
    <w:rsid w:val="000532E6"/>
    <w:rsid w:val="00084412"/>
    <w:rsid w:val="000A16EF"/>
    <w:rsid w:val="000A298A"/>
    <w:rsid w:val="000C1171"/>
    <w:rsid w:val="000D0E68"/>
    <w:rsid w:val="000D72B8"/>
    <w:rsid w:val="000D74A3"/>
    <w:rsid w:val="000E41F7"/>
    <w:rsid w:val="000F4620"/>
    <w:rsid w:val="00105ED8"/>
    <w:rsid w:val="0011025B"/>
    <w:rsid w:val="00111480"/>
    <w:rsid w:val="0013195D"/>
    <w:rsid w:val="0013416C"/>
    <w:rsid w:val="00145738"/>
    <w:rsid w:val="0014729D"/>
    <w:rsid w:val="001503F6"/>
    <w:rsid w:val="00154E9A"/>
    <w:rsid w:val="00155427"/>
    <w:rsid w:val="00174629"/>
    <w:rsid w:val="00182F55"/>
    <w:rsid w:val="00186C55"/>
    <w:rsid w:val="0019163B"/>
    <w:rsid w:val="00197597"/>
    <w:rsid w:val="001A070B"/>
    <w:rsid w:val="001C2B19"/>
    <w:rsid w:val="001D1682"/>
    <w:rsid w:val="001D2281"/>
    <w:rsid w:val="001D4A22"/>
    <w:rsid w:val="001E2073"/>
    <w:rsid w:val="001E2FFB"/>
    <w:rsid w:val="001E5ADE"/>
    <w:rsid w:val="00210EAD"/>
    <w:rsid w:val="0021589B"/>
    <w:rsid w:val="00216E5C"/>
    <w:rsid w:val="00217B06"/>
    <w:rsid w:val="00224439"/>
    <w:rsid w:val="0022710C"/>
    <w:rsid w:val="0023213F"/>
    <w:rsid w:val="00286B2E"/>
    <w:rsid w:val="00296907"/>
    <w:rsid w:val="002B03F9"/>
    <w:rsid w:val="002B2116"/>
    <w:rsid w:val="002B3E50"/>
    <w:rsid w:val="002B7C25"/>
    <w:rsid w:val="002E185D"/>
    <w:rsid w:val="002E46D2"/>
    <w:rsid w:val="002E777D"/>
    <w:rsid w:val="002F14D9"/>
    <w:rsid w:val="002F2044"/>
    <w:rsid w:val="002F2713"/>
    <w:rsid w:val="002F5240"/>
    <w:rsid w:val="002F5388"/>
    <w:rsid w:val="00304E84"/>
    <w:rsid w:val="003071B2"/>
    <w:rsid w:val="00321A29"/>
    <w:rsid w:val="003236D6"/>
    <w:rsid w:val="00325B9A"/>
    <w:rsid w:val="00335B3F"/>
    <w:rsid w:val="00341F80"/>
    <w:rsid w:val="0034696F"/>
    <w:rsid w:val="00364F4F"/>
    <w:rsid w:val="003658AC"/>
    <w:rsid w:val="003725D0"/>
    <w:rsid w:val="00373511"/>
    <w:rsid w:val="00374328"/>
    <w:rsid w:val="00375C0C"/>
    <w:rsid w:val="00376FC1"/>
    <w:rsid w:val="00387A60"/>
    <w:rsid w:val="00392B51"/>
    <w:rsid w:val="00395214"/>
    <w:rsid w:val="003A020A"/>
    <w:rsid w:val="003B7C8D"/>
    <w:rsid w:val="003C10BB"/>
    <w:rsid w:val="003C1FBA"/>
    <w:rsid w:val="003C21F6"/>
    <w:rsid w:val="003D0059"/>
    <w:rsid w:val="003E204C"/>
    <w:rsid w:val="003E279D"/>
    <w:rsid w:val="00400C99"/>
    <w:rsid w:val="0040127F"/>
    <w:rsid w:val="004128C0"/>
    <w:rsid w:val="00416909"/>
    <w:rsid w:val="004213F9"/>
    <w:rsid w:val="00421D16"/>
    <w:rsid w:val="00431FF2"/>
    <w:rsid w:val="00433383"/>
    <w:rsid w:val="00434EE6"/>
    <w:rsid w:val="00437CB0"/>
    <w:rsid w:val="00440905"/>
    <w:rsid w:val="00447E40"/>
    <w:rsid w:val="00464FE6"/>
    <w:rsid w:val="00471DAE"/>
    <w:rsid w:val="00477047"/>
    <w:rsid w:val="00477A60"/>
    <w:rsid w:val="00477CF9"/>
    <w:rsid w:val="00480304"/>
    <w:rsid w:val="004975B0"/>
    <w:rsid w:val="004A490D"/>
    <w:rsid w:val="004A7207"/>
    <w:rsid w:val="004B17A0"/>
    <w:rsid w:val="004B4A50"/>
    <w:rsid w:val="004D1851"/>
    <w:rsid w:val="004D1D6B"/>
    <w:rsid w:val="004E3743"/>
    <w:rsid w:val="004F440D"/>
    <w:rsid w:val="004F6226"/>
    <w:rsid w:val="004F7B2A"/>
    <w:rsid w:val="00512C2E"/>
    <w:rsid w:val="00516827"/>
    <w:rsid w:val="005215B7"/>
    <w:rsid w:val="0052787E"/>
    <w:rsid w:val="00536E26"/>
    <w:rsid w:val="0054007A"/>
    <w:rsid w:val="00550E5C"/>
    <w:rsid w:val="00557845"/>
    <w:rsid w:val="005658FE"/>
    <w:rsid w:val="0057685A"/>
    <w:rsid w:val="00593F36"/>
    <w:rsid w:val="0059554E"/>
    <w:rsid w:val="00595C67"/>
    <w:rsid w:val="005A7998"/>
    <w:rsid w:val="005B247A"/>
    <w:rsid w:val="005E2E5F"/>
    <w:rsid w:val="005E2EAF"/>
    <w:rsid w:val="005E7395"/>
    <w:rsid w:val="005F61F8"/>
    <w:rsid w:val="005F7D7E"/>
    <w:rsid w:val="00600CEE"/>
    <w:rsid w:val="006068D5"/>
    <w:rsid w:val="00613DD2"/>
    <w:rsid w:val="00617335"/>
    <w:rsid w:val="0062628C"/>
    <w:rsid w:val="00626A81"/>
    <w:rsid w:val="00640B2F"/>
    <w:rsid w:val="00654D01"/>
    <w:rsid w:val="006634B8"/>
    <w:rsid w:val="0066500F"/>
    <w:rsid w:val="00674E85"/>
    <w:rsid w:val="00676F91"/>
    <w:rsid w:val="00685D9C"/>
    <w:rsid w:val="00690703"/>
    <w:rsid w:val="00690A80"/>
    <w:rsid w:val="00692C9B"/>
    <w:rsid w:val="0069731B"/>
    <w:rsid w:val="006A0109"/>
    <w:rsid w:val="006A2123"/>
    <w:rsid w:val="006A2A01"/>
    <w:rsid w:val="006B4C27"/>
    <w:rsid w:val="006B6902"/>
    <w:rsid w:val="006B6F43"/>
    <w:rsid w:val="006B762C"/>
    <w:rsid w:val="006D595D"/>
    <w:rsid w:val="006F0EB7"/>
    <w:rsid w:val="006F46BA"/>
    <w:rsid w:val="006F77FF"/>
    <w:rsid w:val="00713FB3"/>
    <w:rsid w:val="00732277"/>
    <w:rsid w:val="007339ED"/>
    <w:rsid w:val="00740D3E"/>
    <w:rsid w:val="00745AFC"/>
    <w:rsid w:val="00754EFA"/>
    <w:rsid w:val="007556E3"/>
    <w:rsid w:val="007604E1"/>
    <w:rsid w:val="00776C4D"/>
    <w:rsid w:val="007858BB"/>
    <w:rsid w:val="00792421"/>
    <w:rsid w:val="00792CAD"/>
    <w:rsid w:val="00795507"/>
    <w:rsid w:val="007A1578"/>
    <w:rsid w:val="007A22AD"/>
    <w:rsid w:val="007B211D"/>
    <w:rsid w:val="007B297A"/>
    <w:rsid w:val="007B6CE7"/>
    <w:rsid w:val="007C63A5"/>
    <w:rsid w:val="007D5937"/>
    <w:rsid w:val="007D6838"/>
    <w:rsid w:val="007E67BE"/>
    <w:rsid w:val="00802D42"/>
    <w:rsid w:val="00805284"/>
    <w:rsid w:val="00811F19"/>
    <w:rsid w:val="00815112"/>
    <w:rsid w:val="008235B0"/>
    <w:rsid w:val="0083538F"/>
    <w:rsid w:val="00837505"/>
    <w:rsid w:val="00842418"/>
    <w:rsid w:val="00850A2E"/>
    <w:rsid w:val="008577B1"/>
    <w:rsid w:val="00867F1B"/>
    <w:rsid w:val="0087369F"/>
    <w:rsid w:val="00877192"/>
    <w:rsid w:val="008777DF"/>
    <w:rsid w:val="00886355"/>
    <w:rsid w:val="0089015F"/>
    <w:rsid w:val="008B24D9"/>
    <w:rsid w:val="008B47A6"/>
    <w:rsid w:val="008C52A2"/>
    <w:rsid w:val="008C5FA8"/>
    <w:rsid w:val="008C6043"/>
    <w:rsid w:val="008D3D60"/>
    <w:rsid w:val="00904A51"/>
    <w:rsid w:val="009079A5"/>
    <w:rsid w:val="00907FF6"/>
    <w:rsid w:val="00910B33"/>
    <w:rsid w:val="0093734C"/>
    <w:rsid w:val="009403EB"/>
    <w:rsid w:val="0094107E"/>
    <w:rsid w:val="00950621"/>
    <w:rsid w:val="009506DB"/>
    <w:rsid w:val="00950C38"/>
    <w:rsid w:val="00953B85"/>
    <w:rsid w:val="00957B83"/>
    <w:rsid w:val="009633E3"/>
    <w:rsid w:val="00966B11"/>
    <w:rsid w:val="009705E0"/>
    <w:rsid w:val="00970864"/>
    <w:rsid w:val="00972FE3"/>
    <w:rsid w:val="0097431A"/>
    <w:rsid w:val="00994A3B"/>
    <w:rsid w:val="009A0667"/>
    <w:rsid w:val="009B6166"/>
    <w:rsid w:val="009D5BA7"/>
    <w:rsid w:val="009E127A"/>
    <w:rsid w:val="009E1472"/>
    <w:rsid w:val="00A077A4"/>
    <w:rsid w:val="00A128C5"/>
    <w:rsid w:val="00A36E9B"/>
    <w:rsid w:val="00A42C86"/>
    <w:rsid w:val="00A63B92"/>
    <w:rsid w:val="00A778A9"/>
    <w:rsid w:val="00A817F9"/>
    <w:rsid w:val="00AA2A24"/>
    <w:rsid w:val="00AA4DB9"/>
    <w:rsid w:val="00AB1DED"/>
    <w:rsid w:val="00AD0220"/>
    <w:rsid w:val="00AD2552"/>
    <w:rsid w:val="00AD3D4B"/>
    <w:rsid w:val="00AE3699"/>
    <w:rsid w:val="00AF024B"/>
    <w:rsid w:val="00AF47E5"/>
    <w:rsid w:val="00B04446"/>
    <w:rsid w:val="00B0595C"/>
    <w:rsid w:val="00B16032"/>
    <w:rsid w:val="00B20898"/>
    <w:rsid w:val="00B21A79"/>
    <w:rsid w:val="00B2276D"/>
    <w:rsid w:val="00B3062E"/>
    <w:rsid w:val="00B31A3B"/>
    <w:rsid w:val="00B36CD9"/>
    <w:rsid w:val="00B420DB"/>
    <w:rsid w:val="00B43324"/>
    <w:rsid w:val="00B52367"/>
    <w:rsid w:val="00B52E79"/>
    <w:rsid w:val="00B54242"/>
    <w:rsid w:val="00B64189"/>
    <w:rsid w:val="00B70032"/>
    <w:rsid w:val="00B72199"/>
    <w:rsid w:val="00B73DAE"/>
    <w:rsid w:val="00B75A24"/>
    <w:rsid w:val="00B8192A"/>
    <w:rsid w:val="00B86B1A"/>
    <w:rsid w:val="00B873F4"/>
    <w:rsid w:val="00B906A0"/>
    <w:rsid w:val="00B91138"/>
    <w:rsid w:val="00B9155F"/>
    <w:rsid w:val="00B928FB"/>
    <w:rsid w:val="00B92C33"/>
    <w:rsid w:val="00B96088"/>
    <w:rsid w:val="00B96E31"/>
    <w:rsid w:val="00B97771"/>
    <w:rsid w:val="00BA469F"/>
    <w:rsid w:val="00BB0C4B"/>
    <w:rsid w:val="00BB1C24"/>
    <w:rsid w:val="00BB715A"/>
    <w:rsid w:val="00BC4373"/>
    <w:rsid w:val="00BD0499"/>
    <w:rsid w:val="00BD7843"/>
    <w:rsid w:val="00BE029D"/>
    <w:rsid w:val="00BE1284"/>
    <w:rsid w:val="00BE3E54"/>
    <w:rsid w:val="00BF44AF"/>
    <w:rsid w:val="00C034E6"/>
    <w:rsid w:val="00C050AC"/>
    <w:rsid w:val="00C16AD9"/>
    <w:rsid w:val="00C20054"/>
    <w:rsid w:val="00C21389"/>
    <w:rsid w:val="00C22BA5"/>
    <w:rsid w:val="00C274E0"/>
    <w:rsid w:val="00C6602B"/>
    <w:rsid w:val="00C81775"/>
    <w:rsid w:val="00C86F45"/>
    <w:rsid w:val="00C92587"/>
    <w:rsid w:val="00CA58F1"/>
    <w:rsid w:val="00CA7DAD"/>
    <w:rsid w:val="00CB0F4B"/>
    <w:rsid w:val="00CB37A6"/>
    <w:rsid w:val="00CB5D09"/>
    <w:rsid w:val="00CC37ED"/>
    <w:rsid w:val="00CC7779"/>
    <w:rsid w:val="00CD3B48"/>
    <w:rsid w:val="00CD58E0"/>
    <w:rsid w:val="00CD7274"/>
    <w:rsid w:val="00CF0A54"/>
    <w:rsid w:val="00CF0F6E"/>
    <w:rsid w:val="00CF498C"/>
    <w:rsid w:val="00CF69DD"/>
    <w:rsid w:val="00D03950"/>
    <w:rsid w:val="00D03E6C"/>
    <w:rsid w:val="00D04C80"/>
    <w:rsid w:val="00D11321"/>
    <w:rsid w:val="00D114F5"/>
    <w:rsid w:val="00D22BBA"/>
    <w:rsid w:val="00D24C6B"/>
    <w:rsid w:val="00D26B1C"/>
    <w:rsid w:val="00D32575"/>
    <w:rsid w:val="00D354FB"/>
    <w:rsid w:val="00D839A7"/>
    <w:rsid w:val="00D83E82"/>
    <w:rsid w:val="00D847D0"/>
    <w:rsid w:val="00D9033C"/>
    <w:rsid w:val="00D961A4"/>
    <w:rsid w:val="00DA1592"/>
    <w:rsid w:val="00DA379F"/>
    <w:rsid w:val="00DA75D5"/>
    <w:rsid w:val="00DB7204"/>
    <w:rsid w:val="00DC7546"/>
    <w:rsid w:val="00DC7766"/>
    <w:rsid w:val="00DD476A"/>
    <w:rsid w:val="00DD5831"/>
    <w:rsid w:val="00DD6762"/>
    <w:rsid w:val="00DD7349"/>
    <w:rsid w:val="00DE3B1B"/>
    <w:rsid w:val="00DF5AF4"/>
    <w:rsid w:val="00E0332A"/>
    <w:rsid w:val="00E04296"/>
    <w:rsid w:val="00E06F17"/>
    <w:rsid w:val="00E15265"/>
    <w:rsid w:val="00E17CD3"/>
    <w:rsid w:val="00E21C2A"/>
    <w:rsid w:val="00E333FB"/>
    <w:rsid w:val="00E5164E"/>
    <w:rsid w:val="00E64D7B"/>
    <w:rsid w:val="00E66DE7"/>
    <w:rsid w:val="00E6730A"/>
    <w:rsid w:val="00E73E95"/>
    <w:rsid w:val="00E75746"/>
    <w:rsid w:val="00E874AA"/>
    <w:rsid w:val="00EA441E"/>
    <w:rsid w:val="00EA57AA"/>
    <w:rsid w:val="00EA6762"/>
    <w:rsid w:val="00EA7024"/>
    <w:rsid w:val="00EC2E3D"/>
    <w:rsid w:val="00ED51F1"/>
    <w:rsid w:val="00ED7685"/>
    <w:rsid w:val="00EE33B5"/>
    <w:rsid w:val="00EF0BA4"/>
    <w:rsid w:val="00EF2447"/>
    <w:rsid w:val="00EF30CE"/>
    <w:rsid w:val="00F00282"/>
    <w:rsid w:val="00F0106B"/>
    <w:rsid w:val="00F033D2"/>
    <w:rsid w:val="00F0487A"/>
    <w:rsid w:val="00F168CB"/>
    <w:rsid w:val="00F256C9"/>
    <w:rsid w:val="00F27C45"/>
    <w:rsid w:val="00F27F29"/>
    <w:rsid w:val="00F40042"/>
    <w:rsid w:val="00F5119A"/>
    <w:rsid w:val="00F53F39"/>
    <w:rsid w:val="00F5470A"/>
    <w:rsid w:val="00F55EA0"/>
    <w:rsid w:val="00F560CE"/>
    <w:rsid w:val="00F63D8A"/>
    <w:rsid w:val="00F63F00"/>
    <w:rsid w:val="00F67D13"/>
    <w:rsid w:val="00F73962"/>
    <w:rsid w:val="00F86A8E"/>
    <w:rsid w:val="00F876BD"/>
    <w:rsid w:val="00FA021C"/>
    <w:rsid w:val="00FA2CA2"/>
    <w:rsid w:val="00FA2E06"/>
    <w:rsid w:val="00FA6970"/>
    <w:rsid w:val="00FA7F0F"/>
    <w:rsid w:val="00FC34FE"/>
    <w:rsid w:val="00FC4335"/>
    <w:rsid w:val="00FC43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4D389"/>
  <w15:chartTrackingRefBased/>
  <w15:docId w15:val="{F31E12AD-85BE-431D-B165-21BBCA95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743"/>
    <w:pPr>
      <w:spacing w:after="0" w:line="240" w:lineRule="auto"/>
    </w:pPr>
    <w:rPr>
      <w:rFonts w:ascii="Calibri" w:eastAsia="Calibri" w:hAnsi="Calibri" w:cs="Arial"/>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6F91"/>
    <w:pPr>
      <w:tabs>
        <w:tab w:val="center" w:pos="4536"/>
        <w:tab w:val="right" w:pos="9072"/>
      </w:tabs>
    </w:pPr>
  </w:style>
  <w:style w:type="character" w:customStyle="1" w:styleId="ZhlavChar">
    <w:name w:val="Záhlaví Char"/>
    <w:basedOn w:val="Standardnpsmoodstavce"/>
    <w:link w:val="Zhlav"/>
    <w:uiPriority w:val="99"/>
    <w:rsid w:val="00676F91"/>
  </w:style>
  <w:style w:type="paragraph" w:styleId="Zpat">
    <w:name w:val="footer"/>
    <w:basedOn w:val="Normln"/>
    <w:link w:val="ZpatChar"/>
    <w:uiPriority w:val="99"/>
    <w:unhideWhenUsed/>
    <w:rsid w:val="00676F91"/>
    <w:pPr>
      <w:tabs>
        <w:tab w:val="center" w:pos="4536"/>
        <w:tab w:val="right" w:pos="9072"/>
      </w:tabs>
    </w:pPr>
  </w:style>
  <w:style w:type="character" w:customStyle="1" w:styleId="ZpatChar">
    <w:name w:val="Zápatí Char"/>
    <w:basedOn w:val="Standardnpsmoodstavce"/>
    <w:link w:val="Zpat"/>
    <w:uiPriority w:val="99"/>
    <w:rsid w:val="00676F91"/>
  </w:style>
  <w:style w:type="paragraph" w:styleId="Textpoznpodarou">
    <w:name w:val="footnote text"/>
    <w:basedOn w:val="Normln"/>
    <w:link w:val="TextpoznpodarouChar"/>
    <w:uiPriority w:val="99"/>
    <w:semiHidden/>
    <w:unhideWhenUsed/>
    <w:rsid w:val="00676F91"/>
  </w:style>
  <w:style w:type="character" w:customStyle="1" w:styleId="TextpoznpodarouChar">
    <w:name w:val="Text pozn. pod čarou Char"/>
    <w:basedOn w:val="Standardnpsmoodstavce"/>
    <w:link w:val="Textpoznpodarou"/>
    <w:uiPriority w:val="99"/>
    <w:semiHidden/>
    <w:rsid w:val="00676F91"/>
    <w:rPr>
      <w:rFonts w:ascii="Calibri" w:eastAsia="Calibri" w:hAnsi="Calibri" w:cs="Arial"/>
      <w:sz w:val="20"/>
      <w:szCs w:val="20"/>
      <w:lang w:val="cs-CZ" w:eastAsia="cs-CZ"/>
    </w:rPr>
  </w:style>
  <w:style w:type="character" w:styleId="Znakapoznpodarou">
    <w:name w:val="footnote reference"/>
    <w:uiPriority w:val="99"/>
    <w:semiHidden/>
    <w:unhideWhenUsed/>
    <w:rsid w:val="00676F91"/>
    <w:rPr>
      <w:vertAlign w:val="superscript"/>
    </w:rPr>
  </w:style>
  <w:style w:type="table" w:styleId="Mkatabulky">
    <w:name w:val="Table Grid"/>
    <w:basedOn w:val="Normlntabulka"/>
    <w:uiPriority w:val="59"/>
    <w:rsid w:val="00B2276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E777D"/>
    <w:pPr>
      <w:ind w:left="720"/>
      <w:contextualSpacing/>
    </w:pPr>
  </w:style>
  <w:style w:type="paragraph" w:styleId="Revize">
    <w:name w:val="Revision"/>
    <w:hidden/>
    <w:uiPriority w:val="99"/>
    <w:semiHidden/>
    <w:rsid w:val="008777DF"/>
    <w:pPr>
      <w:spacing w:after="0" w:line="240" w:lineRule="auto"/>
    </w:pPr>
    <w:rPr>
      <w:rFonts w:ascii="Calibri" w:eastAsia="Calibri" w:hAnsi="Calibri" w:cs="Arial"/>
      <w:sz w:val="20"/>
      <w:szCs w:val="20"/>
      <w:lang w:val="cs-CZ" w:eastAsia="cs-CZ"/>
    </w:rPr>
  </w:style>
  <w:style w:type="character" w:styleId="Odkaznakoment">
    <w:name w:val="annotation reference"/>
    <w:basedOn w:val="Standardnpsmoodstavce"/>
    <w:uiPriority w:val="99"/>
    <w:semiHidden/>
    <w:unhideWhenUsed/>
    <w:rsid w:val="0013195D"/>
    <w:rPr>
      <w:sz w:val="16"/>
      <w:szCs w:val="16"/>
    </w:rPr>
  </w:style>
  <w:style w:type="paragraph" w:styleId="Textkomente">
    <w:name w:val="annotation text"/>
    <w:basedOn w:val="Normln"/>
    <w:link w:val="TextkomenteChar"/>
    <w:uiPriority w:val="99"/>
    <w:semiHidden/>
    <w:unhideWhenUsed/>
    <w:rsid w:val="0013195D"/>
  </w:style>
  <w:style w:type="character" w:customStyle="1" w:styleId="TextkomenteChar">
    <w:name w:val="Text komentáře Char"/>
    <w:basedOn w:val="Standardnpsmoodstavce"/>
    <w:link w:val="Textkomente"/>
    <w:uiPriority w:val="99"/>
    <w:semiHidden/>
    <w:rsid w:val="0013195D"/>
    <w:rPr>
      <w:rFonts w:ascii="Calibri" w:eastAsia="Calibri" w:hAnsi="Calibri" w:cs="Arial"/>
      <w:sz w:val="20"/>
      <w:szCs w:val="20"/>
      <w:lang w:val="cs-CZ" w:eastAsia="cs-CZ"/>
    </w:rPr>
  </w:style>
  <w:style w:type="character" w:styleId="Siln">
    <w:name w:val="Strong"/>
    <w:basedOn w:val="Standardnpsmoodstavce"/>
    <w:uiPriority w:val="22"/>
    <w:qFormat/>
    <w:rsid w:val="00035D22"/>
    <w:rPr>
      <w:b/>
      <w:bCs/>
    </w:rPr>
  </w:style>
  <w:style w:type="paragraph" w:customStyle="1" w:styleId="msonormal0">
    <w:name w:val="msonormal"/>
    <w:basedOn w:val="Normln"/>
    <w:rsid w:val="00C86F45"/>
    <w:pPr>
      <w:spacing w:before="100" w:beforeAutospacing="1" w:after="100" w:afterAutospacing="1"/>
    </w:pPr>
    <w:rPr>
      <w:rFonts w:ascii="Times New Roman" w:eastAsia="Times New Roman" w:hAnsi="Times New Roman" w:cs="Times New Roman"/>
      <w:sz w:val="24"/>
      <w:szCs w:val="24"/>
      <w:lang w:val="hu-HU" w:eastAsia="hu-HU"/>
    </w:rPr>
  </w:style>
  <w:style w:type="paragraph" w:customStyle="1" w:styleId="western">
    <w:name w:val="western"/>
    <w:basedOn w:val="Normln"/>
    <w:rsid w:val="00B43324"/>
    <w:pPr>
      <w:spacing w:before="100" w:beforeAutospacing="1" w:after="142" w:line="276" w:lineRule="auto"/>
    </w:pPr>
    <w:rPr>
      <w:rFonts w:eastAsia="Times New Roman" w:cs="Calibri"/>
      <w:lang w:val="hu-HU" w:eastAsia="hu-HU"/>
    </w:rPr>
  </w:style>
  <w:style w:type="paragraph" w:styleId="Textbubliny">
    <w:name w:val="Balloon Text"/>
    <w:basedOn w:val="Normln"/>
    <w:link w:val="TextbublinyChar"/>
    <w:uiPriority w:val="99"/>
    <w:semiHidden/>
    <w:unhideWhenUsed/>
    <w:rsid w:val="006F46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6BA"/>
    <w:rPr>
      <w:rFonts w:ascii="Segoe UI" w:eastAsia="Calibri"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8587">
      <w:bodyDiv w:val="1"/>
      <w:marLeft w:val="0"/>
      <w:marRight w:val="0"/>
      <w:marTop w:val="0"/>
      <w:marBottom w:val="0"/>
      <w:divBdr>
        <w:top w:val="none" w:sz="0" w:space="0" w:color="auto"/>
        <w:left w:val="none" w:sz="0" w:space="0" w:color="auto"/>
        <w:bottom w:val="none" w:sz="0" w:space="0" w:color="auto"/>
        <w:right w:val="none" w:sz="0" w:space="0" w:color="auto"/>
      </w:divBdr>
      <w:divsChild>
        <w:div w:id="1197234866">
          <w:marLeft w:val="547"/>
          <w:marRight w:val="0"/>
          <w:marTop w:val="120"/>
          <w:marBottom w:val="0"/>
          <w:divBdr>
            <w:top w:val="none" w:sz="0" w:space="0" w:color="auto"/>
            <w:left w:val="none" w:sz="0" w:space="0" w:color="auto"/>
            <w:bottom w:val="none" w:sz="0" w:space="0" w:color="auto"/>
            <w:right w:val="none" w:sz="0" w:space="0" w:color="auto"/>
          </w:divBdr>
        </w:div>
      </w:divsChild>
    </w:div>
    <w:div w:id="451364635">
      <w:bodyDiv w:val="1"/>
      <w:marLeft w:val="0"/>
      <w:marRight w:val="0"/>
      <w:marTop w:val="0"/>
      <w:marBottom w:val="0"/>
      <w:divBdr>
        <w:top w:val="none" w:sz="0" w:space="0" w:color="auto"/>
        <w:left w:val="none" w:sz="0" w:space="0" w:color="auto"/>
        <w:bottom w:val="none" w:sz="0" w:space="0" w:color="auto"/>
        <w:right w:val="none" w:sz="0" w:space="0" w:color="auto"/>
      </w:divBdr>
    </w:div>
    <w:div w:id="983857007">
      <w:bodyDiv w:val="1"/>
      <w:marLeft w:val="0"/>
      <w:marRight w:val="0"/>
      <w:marTop w:val="0"/>
      <w:marBottom w:val="0"/>
      <w:divBdr>
        <w:top w:val="none" w:sz="0" w:space="0" w:color="auto"/>
        <w:left w:val="none" w:sz="0" w:space="0" w:color="auto"/>
        <w:bottom w:val="none" w:sz="0" w:space="0" w:color="auto"/>
        <w:right w:val="none" w:sz="0" w:space="0" w:color="auto"/>
      </w:divBdr>
      <w:divsChild>
        <w:div w:id="474375943">
          <w:marLeft w:val="0"/>
          <w:marRight w:val="0"/>
          <w:marTop w:val="0"/>
          <w:marBottom w:val="0"/>
          <w:divBdr>
            <w:top w:val="none" w:sz="0" w:space="0" w:color="auto"/>
            <w:left w:val="none" w:sz="0" w:space="0" w:color="auto"/>
            <w:bottom w:val="none" w:sz="0" w:space="0" w:color="auto"/>
            <w:right w:val="none" w:sz="0" w:space="0" w:color="auto"/>
          </w:divBdr>
        </w:div>
        <w:div w:id="631252229">
          <w:marLeft w:val="0"/>
          <w:marRight w:val="0"/>
          <w:marTop w:val="0"/>
          <w:marBottom w:val="0"/>
          <w:divBdr>
            <w:top w:val="none" w:sz="0" w:space="0" w:color="auto"/>
            <w:left w:val="none" w:sz="0" w:space="0" w:color="auto"/>
            <w:bottom w:val="none" w:sz="0" w:space="0" w:color="auto"/>
            <w:right w:val="none" w:sz="0" w:space="0" w:color="auto"/>
          </w:divBdr>
        </w:div>
      </w:divsChild>
    </w:div>
    <w:div w:id="986398967">
      <w:bodyDiv w:val="1"/>
      <w:marLeft w:val="0"/>
      <w:marRight w:val="0"/>
      <w:marTop w:val="0"/>
      <w:marBottom w:val="0"/>
      <w:divBdr>
        <w:top w:val="none" w:sz="0" w:space="0" w:color="auto"/>
        <w:left w:val="none" w:sz="0" w:space="0" w:color="auto"/>
        <w:bottom w:val="none" w:sz="0" w:space="0" w:color="auto"/>
        <w:right w:val="none" w:sz="0" w:space="0" w:color="auto"/>
      </w:divBdr>
    </w:div>
    <w:div w:id="1052650781">
      <w:bodyDiv w:val="1"/>
      <w:marLeft w:val="0"/>
      <w:marRight w:val="0"/>
      <w:marTop w:val="0"/>
      <w:marBottom w:val="0"/>
      <w:divBdr>
        <w:top w:val="none" w:sz="0" w:space="0" w:color="auto"/>
        <w:left w:val="none" w:sz="0" w:space="0" w:color="auto"/>
        <w:bottom w:val="none" w:sz="0" w:space="0" w:color="auto"/>
        <w:right w:val="none" w:sz="0" w:space="0" w:color="auto"/>
      </w:divBdr>
      <w:divsChild>
        <w:div w:id="1661612249">
          <w:marLeft w:val="547"/>
          <w:marRight w:val="0"/>
          <w:marTop w:val="0"/>
          <w:marBottom w:val="0"/>
          <w:divBdr>
            <w:top w:val="none" w:sz="0" w:space="0" w:color="auto"/>
            <w:left w:val="none" w:sz="0" w:space="0" w:color="auto"/>
            <w:bottom w:val="none" w:sz="0" w:space="0" w:color="auto"/>
            <w:right w:val="none" w:sz="0" w:space="0" w:color="auto"/>
          </w:divBdr>
        </w:div>
        <w:div w:id="627474080">
          <w:marLeft w:val="547"/>
          <w:marRight w:val="0"/>
          <w:marTop w:val="0"/>
          <w:marBottom w:val="0"/>
          <w:divBdr>
            <w:top w:val="none" w:sz="0" w:space="0" w:color="auto"/>
            <w:left w:val="none" w:sz="0" w:space="0" w:color="auto"/>
            <w:bottom w:val="none" w:sz="0" w:space="0" w:color="auto"/>
            <w:right w:val="none" w:sz="0" w:space="0" w:color="auto"/>
          </w:divBdr>
        </w:div>
        <w:div w:id="1815675627">
          <w:marLeft w:val="547"/>
          <w:marRight w:val="0"/>
          <w:marTop w:val="0"/>
          <w:marBottom w:val="0"/>
          <w:divBdr>
            <w:top w:val="none" w:sz="0" w:space="0" w:color="auto"/>
            <w:left w:val="none" w:sz="0" w:space="0" w:color="auto"/>
            <w:bottom w:val="none" w:sz="0" w:space="0" w:color="auto"/>
            <w:right w:val="none" w:sz="0" w:space="0" w:color="auto"/>
          </w:divBdr>
        </w:div>
        <w:div w:id="799767712">
          <w:marLeft w:val="547"/>
          <w:marRight w:val="0"/>
          <w:marTop w:val="0"/>
          <w:marBottom w:val="0"/>
          <w:divBdr>
            <w:top w:val="none" w:sz="0" w:space="0" w:color="auto"/>
            <w:left w:val="none" w:sz="0" w:space="0" w:color="auto"/>
            <w:bottom w:val="none" w:sz="0" w:space="0" w:color="auto"/>
            <w:right w:val="none" w:sz="0" w:space="0" w:color="auto"/>
          </w:divBdr>
        </w:div>
      </w:divsChild>
    </w:div>
    <w:div w:id="1338461022">
      <w:bodyDiv w:val="1"/>
      <w:marLeft w:val="0"/>
      <w:marRight w:val="0"/>
      <w:marTop w:val="0"/>
      <w:marBottom w:val="0"/>
      <w:divBdr>
        <w:top w:val="none" w:sz="0" w:space="0" w:color="auto"/>
        <w:left w:val="none" w:sz="0" w:space="0" w:color="auto"/>
        <w:bottom w:val="none" w:sz="0" w:space="0" w:color="auto"/>
        <w:right w:val="none" w:sz="0" w:space="0" w:color="auto"/>
      </w:divBdr>
    </w:div>
    <w:div w:id="1399744752">
      <w:bodyDiv w:val="1"/>
      <w:marLeft w:val="0"/>
      <w:marRight w:val="0"/>
      <w:marTop w:val="0"/>
      <w:marBottom w:val="0"/>
      <w:divBdr>
        <w:top w:val="none" w:sz="0" w:space="0" w:color="auto"/>
        <w:left w:val="none" w:sz="0" w:space="0" w:color="auto"/>
        <w:bottom w:val="none" w:sz="0" w:space="0" w:color="auto"/>
        <w:right w:val="none" w:sz="0" w:space="0" w:color="auto"/>
      </w:divBdr>
      <w:divsChild>
        <w:div w:id="729233744">
          <w:marLeft w:val="547"/>
          <w:marRight w:val="0"/>
          <w:marTop w:val="120"/>
          <w:marBottom w:val="0"/>
          <w:divBdr>
            <w:top w:val="none" w:sz="0" w:space="0" w:color="auto"/>
            <w:left w:val="none" w:sz="0" w:space="0" w:color="auto"/>
            <w:bottom w:val="none" w:sz="0" w:space="0" w:color="auto"/>
            <w:right w:val="none" w:sz="0" w:space="0" w:color="auto"/>
          </w:divBdr>
        </w:div>
      </w:divsChild>
    </w:div>
    <w:div w:id="1716393472">
      <w:bodyDiv w:val="1"/>
      <w:marLeft w:val="0"/>
      <w:marRight w:val="0"/>
      <w:marTop w:val="0"/>
      <w:marBottom w:val="0"/>
      <w:divBdr>
        <w:top w:val="none" w:sz="0" w:space="0" w:color="auto"/>
        <w:left w:val="none" w:sz="0" w:space="0" w:color="auto"/>
        <w:bottom w:val="none" w:sz="0" w:space="0" w:color="auto"/>
        <w:right w:val="none" w:sz="0" w:space="0" w:color="auto"/>
      </w:divBdr>
    </w:div>
    <w:div w:id="1863930595">
      <w:bodyDiv w:val="1"/>
      <w:marLeft w:val="0"/>
      <w:marRight w:val="0"/>
      <w:marTop w:val="0"/>
      <w:marBottom w:val="0"/>
      <w:divBdr>
        <w:top w:val="none" w:sz="0" w:space="0" w:color="auto"/>
        <w:left w:val="none" w:sz="0" w:space="0" w:color="auto"/>
        <w:bottom w:val="none" w:sz="0" w:space="0" w:color="auto"/>
        <w:right w:val="none" w:sz="0" w:space="0" w:color="auto"/>
      </w:divBdr>
    </w:div>
    <w:div w:id="1958873200">
      <w:bodyDiv w:val="1"/>
      <w:marLeft w:val="0"/>
      <w:marRight w:val="0"/>
      <w:marTop w:val="0"/>
      <w:marBottom w:val="0"/>
      <w:divBdr>
        <w:top w:val="none" w:sz="0" w:space="0" w:color="auto"/>
        <w:left w:val="none" w:sz="0" w:space="0" w:color="auto"/>
        <w:bottom w:val="none" w:sz="0" w:space="0" w:color="auto"/>
        <w:right w:val="none" w:sz="0" w:space="0" w:color="auto"/>
      </w:divBdr>
      <w:divsChild>
        <w:div w:id="1065836076">
          <w:marLeft w:val="0"/>
          <w:marRight w:val="0"/>
          <w:marTop w:val="0"/>
          <w:marBottom w:val="0"/>
          <w:divBdr>
            <w:top w:val="none" w:sz="0" w:space="0" w:color="auto"/>
            <w:left w:val="none" w:sz="0" w:space="0" w:color="auto"/>
            <w:bottom w:val="none" w:sz="0" w:space="0" w:color="auto"/>
            <w:right w:val="none" w:sz="0" w:space="0" w:color="auto"/>
          </w:divBdr>
        </w:div>
        <w:div w:id="1958415290">
          <w:marLeft w:val="0"/>
          <w:marRight w:val="0"/>
          <w:marTop w:val="0"/>
          <w:marBottom w:val="0"/>
          <w:divBdr>
            <w:top w:val="none" w:sz="0" w:space="0" w:color="auto"/>
            <w:left w:val="none" w:sz="0" w:space="0" w:color="auto"/>
            <w:bottom w:val="none" w:sz="0" w:space="0" w:color="auto"/>
            <w:right w:val="none" w:sz="0" w:space="0" w:color="auto"/>
          </w:divBdr>
        </w:div>
      </w:divsChild>
    </w:div>
    <w:div w:id="1965309101">
      <w:bodyDiv w:val="1"/>
      <w:marLeft w:val="0"/>
      <w:marRight w:val="0"/>
      <w:marTop w:val="0"/>
      <w:marBottom w:val="0"/>
      <w:divBdr>
        <w:top w:val="none" w:sz="0" w:space="0" w:color="auto"/>
        <w:left w:val="none" w:sz="0" w:space="0" w:color="auto"/>
        <w:bottom w:val="none" w:sz="0" w:space="0" w:color="auto"/>
        <w:right w:val="none" w:sz="0" w:space="0" w:color="auto"/>
      </w:divBdr>
    </w:div>
    <w:div w:id="20229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B740-CCBD-41B4-B30E-87643FA6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3469</Words>
  <Characters>20473</Characters>
  <Application>Microsoft Office Word</Application>
  <DocSecurity>0</DocSecurity>
  <Lines>170</Lines>
  <Paragraphs>47</Paragraphs>
  <ScaleCrop>false</ScaleCrop>
  <HeadingPairs>
    <vt:vector size="8" baseType="variant">
      <vt:variant>
        <vt:lpstr>Titel</vt:lpstr>
      </vt:variant>
      <vt:variant>
        <vt:i4>1</vt:i4>
      </vt:variant>
      <vt:variant>
        <vt:lpstr>Název</vt:lpstr>
      </vt:variant>
      <vt:variant>
        <vt:i4>1</vt:i4>
      </vt:variant>
      <vt:variant>
        <vt:lpstr>Cím</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 Voros</dc:creator>
  <cp:keywords/>
  <dc:description/>
  <cp:lastModifiedBy>Vondra Tomáš</cp:lastModifiedBy>
  <cp:revision>5</cp:revision>
  <dcterms:created xsi:type="dcterms:W3CDTF">2025-06-17T09:36:00Z</dcterms:created>
  <dcterms:modified xsi:type="dcterms:W3CDTF">2025-06-19T07:56:00Z</dcterms:modified>
</cp:coreProperties>
</file>